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CEFAB">
      <w:pPr>
        <w:jc w:val="center"/>
        <w:rPr>
          <w:rFonts w:ascii="等线" w:hAnsi="等线" w:eastAsia="等线" w:cs="等线"/>
          <w:bCs/>
          <w:color w:val="C00000"/>
          <w:sz w:val="28"/>
          <w:szCs w:val="28"/>
        </w:rPr>
      </w:pPr>
      <w:r>
        <w:drawing>
          <wp:inline distT="0" distB="0" distL="114300" distR="114300">
            <wp:extent cx="5201920" cy="1478915"/>
            <wp:effectExtent l="0" t="0" r="17780" b="6985"/>
            <wp:docPr id="5122" name="图片 4097" descr="/Users/jingslee/Desktop/上财四季/春/20200324 春花 2m/_Q4B4464.jpg_Q4B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图片 4097" descr="/Users/jingslee/Desktop/上财四季/春/20200324 春花 2m/_Q4B4464.jpg_Q4B4464"/>
                    <pic:cNvPicPr>
                      <a:picLocks noChangeAspect="1" noChangeArrowheads="1"/>
                    </pic:cNvPicPr>
                  </pic:nvPicPr>
                  <pic:blipFill>
                    <a:blip r:embed="rId5"/>
                    <a:srcRect l="-5" t="32197" r="5" b="25155"/>
                    <a:stretch>
                      <a:fillRect/>
                    </a:stretch>
                  </pic:blipFill>
                  <pic:spPr>
                    <a:xfrm>
                      <a:off x="0" y="0"/>
                      <a:ext cx="5201920" cy="1478915"/>
                    </a:xfrm>
                    <a:prstGeom prst="rect">
                      <a:avLst/>
                    </a:prstGeom>
                    <a:noFill/>
                    <a:ln>
                      <a:noFill/>
                    </a:ln>
                  </pic:spPr>
                </pic:pic>
              </a:graphicData>
            </a:graphic>
          </wp:inline>
        </w:drawing>
      </w:r>
    </w:p>
    <w:p w14:paraId="6A3DEDAB">
      <w:pPr>
        <w:jc w:val="center"/>
        <w:rPr>
          <w:rFonts w:ascii="等线" w:hAnsi="等线" w:eastAsia="等线" w:cs="等线"/>
          <w:b/>
          <w:color w:val="1F497D" w:themeColor="text2"/>
          <w:sz w:val="28"/>
          <w:szCs w:val="28"/>
        </w:rPr>
      </w:pPr>
      <w:r>
        <w:rPr>
          <w:rFonts w:hint="eastAsia" w:ascii="等线" w:hAnsi="等线" w:eastAsia="等线" w:cs="等线"/>
          <w:b/>
          <w:color w:val="1F497D" w:themeColor="text2"/>
          <w:sz w:val="28"/>
          <w:szCs w:val="28"/>
        </w:rPr>
        <w:t>2026年上海财经大学 | 新闻与社会高等研究院 |</w:t>
      </w:r>
    </w:p>
    <w:p w14:paraId="2E64CD51">
      <w:pPr>
        <w:jc w:val="center"/>
        <w:rPr>
          <w:rFonts w:ascii="等线" w:hAnsi="等线" w:eastAsia="等线" w:cs="等线"/>
          <w:b/>
          <w:color w:val="1F497D" w:themeColor="text2"/>
          <w:sz w:val="28"/>
          <w:szCs w:val="28"/>
        </w:rPr>
      </w:pPr>
      <w:r>
        <w:rPr>
          <w:rFonts w:hint="eastAsia" w:ascii="等线" w:hAnsi="等线" w:eastAsia="等线" w:cs="等线"/>
          <w:b/>
          <w:color w:val="1F497D" w:themeColor="text2"/>
          <w:sz w:val="28"/>
          <w:szCs w:val="28"/>
        </w:rPr>
        <w:t xml:space="preserve">经济社会学专业 | 新闻学专业 </w:t>
      </w:r>
    </w:p>
    <w:p w14:paraId="2EEB5FF7">
      <w:pPr>
        <w:jc w:val="center"/>
        <w:rPr>
          <w:rFonts w:ascii="等线" w:hAnsi="等线" w:eastAsia="等线" w:cs="等线"/>
          <w:b/>
          <w:color w:val="585858" w:themeColor="text1" w:themeTint="A6"/>
          <w:sz w:val="28"/>
          <w:szCs w:val="28"/>
        </w:rPr>
      </w:pPr>
      <w:r>
        <w:rPr>
          <w:rFonts w:hint="eastAsia" w:ascii="等线" w:hAnsi="等线" w:eastAsia="等线" w:cs="等线"/>
          <w:b/>
          <w:color w:val="585858" w:themeColor="text1" w:themeTint="A6"/>
          <w:sz w:val="28"/>
          <w:szCs w:val="28"/>
        </w:rPr>
        <w:t xml:space="preserve">在职课程培训班招生简章 </w:t>
      </w:r>
    </w:p>
    <w:p w14:paraId="2137AA29">
      <w:pPr>
        <w:jc w:val="center"/>
        <w:rPr>
          <w:rFonts w:ascii="等线" w:hAnsi="等线" w:eastAsia="等线" w:cs="等线"/>
          <w:b/>
          <w:color w:val="585858" w:themeColor="text1" w:themeTint="A6"/>
          <w:szCs w:val="21"/>
        </w:rPr>
      </w:pPr>
      <w:r>
        <w:rPr>
          <w:rFonts w:hint="eastAsia" w:ascii="等线" w:hAnsi="等线" w:eastAsia="等线" w:cs="等线"/>
          <w:b/>
          <w:color w:val="585858" w:themeColor="text1" w:themeTint="A6"/>
          <w:szCs w:val="21"/>
        </w:rPr>
        <w:t>（免试录取 可选面授班/线上班 全国招生）</w:t>
      </w:r>
    </w:p>
    <w:p w14:paraId="0C7C8E78">
      <w:pPr>
        <w:rPr>
          <w:rFonts w:ascii="等线" w:hAnsi="等线" w:eastAsia="等线" w:cs="等线"/>
        </w:rPr>
      </w:pPr>
    </w:p>
    <w:p w14:paraId="70CE4955">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办班性质</w:t>
      </w:r>
    </w:p>
    <w:p w14:paraId="12E9033E">
      <w:pPr>
        <w:rPr>
          <w:rFonts w:ascii="等线" w:hAnsi="等线" w:eastAsia="等线" w:cs="等线"/>
        </w:rPr>
      </w:pPr>
      <w:r>
        <w:rPr>
          <w:rFonts w:ascii="等线" w:hAnsi="等线" w:eastAsia="等线" w:cs="等线"/>
        </w:rPr>
        <w:pict>
          <v:shape id="_x0000_s1028" o:spid="_x0000_s1028" o:spt="32" type="#_x0000_t32" style="position:absolute;left:0pt;margin-left:0.4pt;margin-top:7.35pt;height:0pt;width:410.25pt;z-index:251663360;mso-width-relative:page;mso-height-relative:page;" filled="f" stroked="t" coordsize="21600,21600">
            <v:path arrowok="t"/>
            <v:fill on="f" focussize="0,0"/>
            <v:stroke weight="1pt" color="#1F497D"/>
            <v:imagedata o:title=""/>
            <o:lock v:ext="edit"/>
          </v:shape>
        </w:pict>
      </w:r>
    </w:p>
    <w:p w14:paraId="18492EF6">
      <w:pPr>
        <w:rPr>
          <w:rFonts w:ascii="等线" w:hAnsi="等线" w:eastAsia="等线" w:cs="等线"/>
        </w:rPr>
      </w:pPr>
      <w:r>
        <w:rPr>
          <w:rFonts w:hint="eastAsia" w:ascii="等线" w:hAnsi="等线" w:eastAsia="等线" w:cs="等线"/>
        </w:rPr>
        <w:t>非学历教育</w:t>
      </w:r>
    </w:p>
    <w:p w14:paraId="02343E90">
      <w:pPr>
        <w:rPr>
          <w:rFonts w:ascii="等线" w:hAnsi="等线" w:eastAsia="等线" w:cs="等线"/>
          <w:b/>
          <w:color w:val="C00000"/>
        </w:rPr>
      </w:pPr>
    </w:p>
    <w:p w14:paraId="0F45327F">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上海财经大学新闻与社会高等研究院简介</w:t>
      </w:r>
    </w:p>
    <w:p w14:paraId="0A88648E">
      <w:pPr>
        <w:rPr>
          <w:rFonts w:ascii="等线" w:hAnsi="等线" w:eastAsia="等线" w:cs="等线"/>
          <w:b/>
          <w:color w:val="C00000"/>
        </w:rPr>
      </w:pPr>
      <w:r>
        <w:rPr>
          <w:rFonts w:ascii="等线" w:hAnsi="等线" w:eastAsia="等线" w:cs="等线"/>
          <w:b/>
          <w:color w:val="C00000"/>
        </w:rPr>
        <w:pict>
          <v:shape id="_x0000_s1029" o:spid="_x0000_s1029" o:spt="32" type="#_x0000_t32" style="position:absolute;left:0pt;margin-left:0.4pt;margin-top:5.4pt;height:0pt;width:410.25pt;z-index:251664384;mso-width-relative:page;mso-height-relative:page;" filled="f" stroked="t" coordsize="21600,21600">
            <v:path arrowok="t"/>
            <v:fill on="f" focussize="0,0"/>
            <v:stroke weight="1pt" color="#1F497D"/>
            <v:imagedata o:title=""/>
            <o:lock v:ext="edit"/>
          </v:shape>
        </w:pict>
      </w:r>
    </w:p>
    <w:p w14:paraId="763C1B9A">
      <w:pPr>
        <w:pStyle w:val="6"/>
        <w:widowControl/>
        <w:rPr>
          <w:rFonts w:ascii="等线" w:hAnsi="等线" w:eastAsia="等线" w:cs="等线"/>
          <w:b/>
          <w:bCs/>
          <w:kern w:val="2"/>
          <w:sz w:val="21"/>
        </w:rPr>
      </w:pPr>
      <w:r>
        <w:rPr>
          <w:rFonts w:hint="eastAsia" w:ascii="等线" w:hAnsi="等线" w:eastAsia="等线" w:cs="等线"/>
          <w:kern w:val="2"/>
          <w:sz w:val="21"/>
        </w:rPr>
        <w:t>上海财经大学在人文学院原有的社会学和新闻传播学两大学科基础上成立</w:t>
      </w:r>
      <w:r>
        <w:rPr>
          <w:rFonts w:hint="eastAsia" w:ascii="等线" w:hAnsi="等线" w:eastAsia="等线" w:cs="等线"/>
          <w:b/>
          <w:bCs/>
          <w:kern w:val="2"/>
          <w:sz w:val="21"/>
        </w:rPr>
        <w:t>新闻与社会高等研究院。</w:t>
      </w:r>
    </w:p>
    <w:p w14:paraId="43D9E041">
      <w:pPr>
        <w:pStyle w:val="6"/>
        <w:widowControl/>
        <w:rPr>
          <w:rFonts w:ascii="等线" w:hAnsi="等线" w:eastAsia="等线" w:cs="等线"/>
          <w:kern w:val="2"/>
          <w:sz w:val="21"/>
        </w:rPr>
      </w:pPr>
      <w:r>
        <w:rPr>
          <w:rFonts w:hint="eastAsia" w:ascii="等线" w:hAnsi="等线" w:eastAsia="等线" w:cs="等线"/>
          <w:kern w:val="2"/>
          <w:sz w:val="21"/>
        </w:rPr>
        <w:t>新闻与社会高等研究院是融教学、科研、智库为一体的校级教研单位。教学上聚焦特色人才培养，更加注重数智、财经与新闻传播学、社会学的高层次人才培养的融合，力求学术性和实践性兼容、复合型和国际化并重，以高质量的科研带动高等研究院发展。</w:t>
      </w:r>
    </w:p>
    <w:p w14:paraId="0344E25B">
      <w:pPr>
        <w:pStyle w:val="6"/>
        <w:widowControl/>
        <w:rPr>
          <w:rFonts w:ascii="等线" w:hAnsi="等线" w:eastAsia="等线" w:cs="等线"/>
        </w:rPr>
      </w:pPr>
      <w:r>
        <w:rPr>
          <w:rFonts w:hint="eastAsia" w:ascii="等线" w:hAnsi="等线" w:eastAsia="等线" w:cs="等线"/>
          <w:kern w:val="2"/>
          <w:sz w:val="21"/>
        </w:rPr>
        <w:t>经济新闻系以“复合型、国际型、创新型”为新闻传播人才培养目标，突出“3+1”的办学理念：“一流新闻传播业务能力”“一流财经知识”“一流外语交流水平”，建成了一流的实验教学设施和一流的双师制的人才培养队伍。经济社会学系作为在国内社会学领域少数具有经济学背景的经济社会学教学研究基地，依托上海财经大学雄厚的学术积累，通过社会学和经济学、管理学等经管学科交叉融合，大量参与到对我国经济与社会前沿问题的研究之中，在学术研究和人才培养方面已形成鲜明的特色和优势。</w:t>
      </w:r>
    </w:p>
    <w:p w14:paraId="30ED4D07">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报名条件</w:t>
      </w:r>
    </w:p>
    <w:p w14:paraId="3CD493D7">
      <w:pPr>
        <w:rPr>
          <w:rFonts w:ascii="等线" w:hAnsi="等线" w:eastAsia="等线" w:cs="等线"/>
        </w:rPr>
      </w:pPr>
      <w:r>
        <w:rPr>
          <w:rFonts w:ascii="等线" w:hAnsi="等线" w:eastAsia="等线" w:cs="等线"/>
        </w:rPr>
        <w:pict>
          <v:shape id="_x0000_s1030" o:spid="_x0000_s1030" o:spt="32" type="#_x0000_t32" style="position:absolute;left:0pt;margin-left:0.4pt;margin-top:4.3pt;height:0pt;width:410.25pt;z-index:251661312;mso-width-relative:page;mso-height-relative:page;" filled="f" stroked="t" coordsize="21600,21600">
            <v:path arrowok="t"/>
            <v:fill on="f" focussize="0,0"/>
            <v:stroke weight="1pt" color="#1F497D"/>
            <v:imagedata o:title=""/>
            <o:lock v:ext="edit"/>
          </v:shape>
        </w:pict>
      </w:r>
    </w:p>
    <w:p w14:paraId="1ED85AE9">
      <w:pPr>
        <w:rPr>
          <w:rFonts w:ascii="等线" w:hAnsi="等线" w:eastAsia="等线" w:cs="等线"/>
        </w:rPr>
      </w:pPr>
      <w:r>
        <w:rPr>
          <w:rFonts w:hint="eastAsia" w:ascii="等线" w:hAnsi="等线" w:eastAsia="等线" w:cs="等线"/>
        </w:rPr>
        <w:t>（1）本科学历</w:t>
      </w:r>
      <w:r>
        <w:rPr>
          <w:rFonts w:hint="eastAsia" w:ascii="等线" w:hAnsi="等线" w:eastAsia="等线" w:cs="等线"/>
          <w:lang w:eastAsia="zh-CN"/>
        </w:rPr>
        <w:t>，</w:t>
      </w:r>
      <w:r>
        <w:rPr>
          <w:rFonts w:hint="eastAsia" w:ascii="等线" w:hAnsi="等线" w:eastAsia="等线" w:cs="等线"/>
        </w:rPr>
        <w:t>并获得学士学位后满三年（即2023年9月以前本科双证获得者，原专业不限）；</w:t>
      </w:r>
    </w:p>
    <w:p w14:paraId="45079FC5">
      <w:pPr>
        <w:rPr>
          <w:rFonts w:ascii="等线" w:hAnsi="等线" w:eastAsia="等线" w:cs="等线"/>
        </w:rPr>
      </w:pPr>
      <w:r>
        <w:rPr>
          <w:rFonts w:hint="eastAsia" w:ascii="等线" w:hAnsi="等线" w:eastAsia="等线" w:cs="等线"/>
        </w:rPr>
        <w:t>（2）虽无学士学位但已获得硕士或博士学位者；</w:t>
      </w:r>
    </w:p>
    <w:p w14:paraId="78159CB6">
      <w:pPr>
        <w:widowControl/>
        <w:shd w:val="clear" w:color="auto" w:fill="FFFFFF"/>
        <w:spacing w:after="150" w:line="315" w:lineRule="atLeast"/>
        <w:jc w:val="left"/>
        <w:rPr>
          <w:rFonts w:ascii="等线" w:hAnsi="等线" w:eastAsia="等线" w:cs="等线"/>
        </w:rPr>
      </w:pPr>
      <w:r>
        <w:rPr>
          <w:rFonts w:hint="eastAsia" w:ascii="等线" w:hAnsi="等线" w:eastAsia="等线" w:cs="等线"/>
        </w:rPr>
        <w:t>（3）对已获得的学士、硕士或博士学位学历为国（境）外学位学历的，其所获的国（境）外学位需经教育部留学服务中心认证，并出具证明。</w:t>
      </w:r>
    </w:p>
    <w:p w14:paraId="575A66B9">
      <w:pPr>
        <w:widowControl/>
        <w:shd w:val="clear" w:color="auto" w:fill="FFFFFF"/>
        <w:spacing w:after="150" w:line="315" w:lineRule="atLeast"/>
        <w:jc w:val="left"/>
        <w:rPr>
          <w:rFonts w:ascii="等线" w:hAnsi="等线" w:eastAsia="等线" w:cs="等线"/>
        </w:rPr>
      </w:pPr>
    </w:p>
    <w:p w14:paraId="720DA91C">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报名时间、开班时间</w:t>
      </w:r>
    </w:p>
    <w:p w14:paraId="715311E7">
      <w:pPr>
        <w:rPr>
          <w:rFonts w:ascii="等线" w:hAnsi="等线" w:eastAsia="等线" w:cs="等线"/>
        </w:rPr>
      </w:pPr>
      <w:r>
        <w:rPr>
          <w:rFonts w:ascii="等线" w:hAnsi="等线" w:eastAsia="等线" w:cs="等线"/>
        </w:rPr>
        <w:pict>
          <v:shape id="_x0000_s1040" o:spid="_x0000_s1040" o:spt="32" type="#_x0000_t32" style="position:absolute;left:0pt;margin-left:2.7pt;margin-top:6.1pt;height:0pt;width:410.25pt;z-index:251668480;mso-width-relative:page;mso-height-relative:page;" filled="f" stroked="t" coordsize="21600,21600">
            <v:path arrowok="t"/>
            <v:fill on="f" focussize="0,0"/>
            <v:stroke weight="1pt" color="#1F497D"/>
            <v:imagedata o:title=""/>
            <o:lock v:ext="edit"/>
          </v:shape>
        </w:pict>
      </w:r>
    </w:p>
    <w:p w14:paraId="5D071B45">
      <w:pPr>
        <w:pStyle w:val="17"/>
        <w:numPr>
          <w:ilvl w:val="0"/>
          <w:numId w:val="1"/>
        </w:numPr>
        <w:ind w:firstLineChars="0"/>
        <w:rPr>
          <w:rFonts w:ascii="等线" w:hAnsi="等线" w:eastAsia="等线" w:cs="等线"/>
        </w:rPr>
      </w:pPr>
      <w:r>
        <w:rPr>
          <w:rFonts w:hint="eastAsia" w:ascii="等线" w:hAnsi="等线" w:eastAsia="等线" w:cs="等线"/>
        </w:rPr>
        <w:t>无须考试，免试录取，即日起即可报名，资格审查合格后，缴费注册发录取通知书。</w:t>
      </w:r>
    </w:p>
    <w:p w14:paraId="6693EBD2">
      <w:pPr>
        <w:pStyle w:val="17"/>
        <w:numPr>
          <w:ilvl w:val="0"/>
          <w:numId w:val="1"/>
        </w:numPr>
        <w:ind w:firstLineChars="0"/>
        <w:rPr>
          <w:rFonts w:ascii="等线" w:hAnsi="等线" w:eastAsia="等线" w:cs="等线"/>
        </w:rPr>
      </w:pPr>
      <w:r>
        <w:rPr>
          <w:rFonts w:hint="eastAsia" w:ascii="等线" w:hAnsi="等线" w:eastAsia="等线" w:cs="等线"/>
        </w:rPr>
        <w:t>开班时间：拟于2026年9月开班。</w:t>
      </w:r>
    </w:p>
    <w:p w14:paraId="21F60DC5">
      <w:pPr>
        <w:rPr>
          <w:rFonts w:ascii="等线" w:hAnsi="等线" w:eastAsia="等线" w:cs="等线"/>
        </w:rPr>
      </w:pPr>
    </w:p>
    <w:p w14:paraId="316AB794">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学制、结业资格</w:t>
      </w:r>
    </w:p>
    <w:p w14:paraId="0FC9BEB8">
      <w:pPr>
        <w:rPr>
          <w:rFonts w:ascii="等线" w:hAnsi="等线" w:eastAsia="等线" w:cs="等线"/>
        </w:rPr>
      </w:pPr>
      <w:r>
        <w:rPr>
          <w:rFonts w:ascii="等线" w:hAnsi="等线" w:eastAsia="等线" w:cs="等线"/>
        </w:rPr>
        <w:pict>
          <v:shape id="_x0000_s1032" o:spid="_x0000_s1032" o:spt="32" type="#_x0000_t32" style="position:absolute;left:0pt;margin-left:2.7pt;margin-top:5.15pt;height:0pt;width:410.25pt;z-index:251660288;mso-width-relative:page;mso-height-relative:page;" filled="f" stroked="t" coordsize="21600,21600">
            <v:path arrowok="t"/>
            <v:fill on="f" focussize="0,0"/>
            <v:stroke weight="1pt" color="#1F497D"/>
            <v:imagedata o:title=""/>
            <o:lock v:ext="edit"/>
          </v:shape>
        </w:pict>
      </w:r>
    </w:p>
    <w:p w14:paraId="1DB60BE8">
      <w:pPr>
        <w:widowControl/>
        <w:jc w:val="left"/>
        <w:rPr>
          <w:rFonts w:ascii="等线" w:hAnsi="等线" w:eastAsia="等线" w:cs="等线"/>
        </w:rPr>
      </w:pPr>
      <w:r>
        <w:rPr>
          <w:rFonts w:hint="eastAsia" w:ascii="等线" w:hAnsi="等线" w:eastAsia="等线" w:cs="等线"/>
        </w:rPr>
        <w:t xml:space="preserve">（1）学制2年。 </w:t>
      </w:r>
    </w:p>
    <w:p w14:paraId="4F344654">
      <w:pPr>
        <w:rPr>
          <w:rFonts w:ascii="等线" w:hAnsi="等线" w:eastAsia="等线" w:cs="等线"/>
        </w:rPr>
      </w:pPr>
      <w:r>
        <w:rPr>
          <w:rFonts w:hint="eastAsia" w:ascii="等线" w:hAnsi="等线" w:eastAsia="等线" w:cs="等线"/>
        </w:rPr>
        <w:t>（2）学习形式：</w:t>
      </w:r>
      <w:r>
        <w:rPr>
          <w:rFonts w:hint="eastAsia" w:ascii="等线" w:hAnsi="等线" w:eastAsia="等线" w:cs="等线"/>
          <w:b/>
        </w:rPr>
        <w:t>可选面授班/线上班，均以上海财经大学教师授课为主。</w:t>
      </w:r>
      <w:r>
        <w:rPr>
          <w:rFonts w:hint="eastAsia" w:ascii="等线" w:hAnsi="等线" w:eastAsia="等线" w:cs="等线"/>
        </w:rPr>
        <w:t>面授班课程均在本校上课。</w:t>
      </w:r>
      <w:r>
        <w:rPr>
          <w:rFonts w:hint="eastAsia" w:ascii="等线" w:hAnsi="等线" w:eastAsia="等线" w:cs="等线"/>
          <w:lang w:val="en-US" w:eastAsia="zh-CN"/>
        </w:rPr>
        <w:t>每周六</w:t>
      </w:r>
      <w:r>
        <w:rPr>
          <w:rFonts w:hint="eastAsia" w:ascii="等线" w:hAnsi="等线" w:eastAsia="等线" w:cs="等线"/>
        </w:rPr>
        <w:t>授课，法定节假日和寒暑假不上课。</w:t>
      </w:r>
      <w:r>
        <w:rPr>
          <w:rFonts w:hint="eastAsia" w:ascii="等线" w:hAnsi="等线" w:eastAsia="等线" w:cs="等线"/>
          <w:lang w:val="en-US" w:eastAsia="zh-CN"/>
        </w:rPr>
        <w:t>以实际排课为准。</w:t>
      </w:r>
    </w:p>
    <w:p w14:paraId="3B4A6B4D">
      <w:pPr>
        <w:rPr>
          <w:rFonts w:ascii="等线" w:hAnsi="等线" w:eastAsia="等线" w:cs="等线"/>
        </w:rPr>
      </w:pPr>
      <w:r>
        <w:rPr>
          <w:rFonts w:hint="eastAsia" w:ascii="等线" w:hAnsi="等线" w:eastAsia="等线" w:cs="等线"/>
        </w:rPr>
        <w:t>（3）学习相关专业培养计划的全部课程后，可获得相应专业的结业证书（盖上海财经大学培训专用章）。</w:t>
      </w:r>
    </w:p>
    <w:p w14:paraId="60320AAB">
      <w:pPr>
        <w:rPr>
          <w:rFonts w:ascii="等线" w:hAnsi="等线" w:eastAsia="等线" w:cs="等线"/>
          <w:color w:val="333333"/>
          <w:kern w:val="0"/>
          <w:szCs w:val="21"/>
        </w:rPr>
      </w:pPr>
    </w:p>
    <w:p w14:paraId="65E40301">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课程设置</w:t>
      </w:r>
    </w:p>
    <w:p w14:paraId="48E72859">
      <w:pPr>
        <w:rPr>
          <w:rFonts w:ascii="等线" w:hAnsi="等线" w:eastAsia="等线" w:cs="等线"/>
          <w:b/>
          <w:color w:val="C00000"/>
        </w:rPr>
      </w:pPr>
      <w:r>
        <w:rPr>
          <w:rFonts w:ascii="等线" w:hAnsi="等线" w:eastAsia="等线" w:cs="等线"/>
          <w:b/>
          <w:color w:val="C00000"/>
        </w:rPr>
        <w:pict>
          <v:shape id="_x0000_s1033" o:spid="_x0000_s1033" o:spt="32" type="#_x0000_t32" style="position:absolute;left:0pt;margin-left:-1.8pt;margin-top:6.45pt;height:0pt;width:410.25pt;z-index:251662336;mso-width-relative:page;mso-height-relative:page;" filled="f" stroked="t" coordsize="21600,21600">
            <v:path arrowok="t"/>
            <v:fill on="f" focussize="0,0"/>
            <v:stroke weight="1pt" color="#1F497D"/>
            <v:imagedata o:title=""/>
            <o:lock v:ext="edit"/>
          </v:shape>
        </w:pict>
      </w:r>
    </w:p>
    <w:p w14:paraId="253293BE">
      <w:pPr>
        <w:autoSpaceDE w:val="0"/>
        <w:autoSpaceDN w:val="0"/>
        <w:adjustRightInd w:val="0"/>
        <w:jc w:val="left"/>
        <w:rPr>
          <w:rFonts w:ascii="等线" w:hAnsi="等线" w:eastAsia="等线" w:cs="等线"/>
          <w:kern w:val="0"/>
          <w:sz w:val="22"/>
        </w:rPr>
      </w:pPr>
    </w:p>
    <w:tbl>
      <w:tblPr>
        <w:tblStyle w:val="8"/>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345"/>
        <w:gridCol w:w="6609"/>
      </w:tblGrid>
      <w:tr w14:paraId="7AF4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21" w:type="dxa"/>
            <w:gridSpan w:val="3"/>
            <w:shd w:val="clear" w:color="auto" w:fill="4F81BD" w:themeFill="accent1"/>
            <w:vAlign w:val="center"/>
          </w:tcPr>
          <w:p w14:paraId="47CCC594">
            <w:pPr>
              <w:jc w:val="center"/>
              <w:rPr>
                <w:rFonts w:ascii="等线" w:hAnsi="等线" w:eastAsia="等线" w:cs="等线"/>
                <w:b/>
                <w:bCs/>
                <w:color w:val="FFFFFF" w:themeColor="background1"/>
                <w:kern w:val="0"/>
                <w:szCs w:val="21"/>
              </w:rPr>
            </w:pPr>
            <w:r>
              <w:rPr>
                <w:rFonts w:hint="eastAsia" w:ascii="等线" w:hAnsi="等线" w:eastAsia="等线" w:cs="等线"/>
                <w:b/>
                <w:color w:val="FFFFFF" w:themeColor="background1"/>
                <w:sz w:val="24"/>
                <w:szCs w:val="24"/>
              </w:rPr>
              <w:t>招生专业：经济社会学专业</w:t>
            </w:r>
          </w:p>
        </w:tc>
      </w:tr>
      <w:tr w14:paraId="3D60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2412" w:type="dxa"/>
            <w:gridSpan w:val="2"/>
            <w:vAlign w:val="center"/>
          </w:tcPr>
          <w:p w14:paraId="380D966C">
            <w:pPr>
              <w:jc w:val="center"/>
              <w:rPr>
                <w:rFonts w:ascii="等线" w:hAnsi="等线" w:eastAsia="等线" w:cs="等线"/>
                <w:b/>
              </w:rPr>
            </w:pPr>
            <w:r>
              <w:rPr>
                <w:rFonts w:hint="eastAsia" w:ascii="等线" w:hAnsi="等线" w:eastAsia="等线" w:cs="等线"/>
                <w:b/>
              </w:rPr>
              <w:t>课程方向</w:t>
            </w:r>
          </w:p>
        </w:tc>
        <w:tc>
          <w:tcPr>
            <w:tcW w:w="6609" w:type="dxa"/>
            <w:vAlign w:val="center"/>
          </w:tcPr>
          <w:p w14:paraId="329133F2">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社会心理服务与应用心理学方向</w:t>
            </w:r>
          </w:p>
          <w:p w14:paraId="06EDBB02">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人力资源管理方向</w:t>
            </w:r>
          </w:p>
          <w:p w14:paraId="1E9252F7">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经济社会政策与治理方向</w:t>
            </w:r>
          </w:p>
          <w:p w14:paraId="71D4B38A">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社会工作方向</w:t>
            </w:r>
          </w:p>
          <w:p w14:paraId="73585930">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企业社会学方向</w:t>
            </w:r>
          </w:p>
          <w:p w14:paraId="1FD3B0E8">
            <w:pPr>
              <w:jc w:val="center"/>
              <w:rPr>
                <w:rFonts w:ascii="等线" w:hAnsi="等线" w:eastAsia="等线" w:cs="等线"/>
              </w:rPr>
            </w:pPr>
            <w:r>
              <w:rPr>
                <w:rFonts w:hint="eastAsia" w:ascii="等线" w:hAnsi="等线" w:eastAsia="等线" w:cs="等线"/>
                <w:b/>
                <w:bCs/>
                <w:color w:val="1F497D" w:themeColor="text2"/>
                <w:kern w:val="0"/>
                <w:szCs w:val="21"/>
              </w:rPr>
              <w:t>市场调查与大数据统计方向</w:t>
            </w:r>
          </w:p>
        </w:tc>
      </w:tr>
      <w:tr w14:paraId="5059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67" w:type="dxa"/>
            <w:vMerge w:val="restart"/>
            <w:vAlign w:val="center"/>
          </w:tcPr>
          <w:p w14:paraId="2A366485">
            <w:pPr>
              <w:jc w:val="center"/>
              <w:rPr>
                <w:rFonts w:ascii="等线" w:hAnsi="等线" w:eastAsia="等线" w:cs="等线"/>
              </w:rPr>
            </w:pPr>
            <w:r>
              <w:rPr>
                <w:rFonts w:hint="eastAsia" w:ascii="等线" w:hAnsi="等线" w:eastAsia="等线" w:cs="等线"/>
                <w:b/>
              </w:rPr>
              <w:t>课程设置</w:t>
            </w:r>
          </w:p>
        </w:tc>
        <w:tc>
          <w:tcPr>
            <w:tcW w:w="1345" w:type="dxa"/>
            <w:vAlign w:val="center"/>
          </w:tcPr>
          <w:p w14:paraId="4FD51EC2">
            <w:pPr>
              <w:jc w:val="center"/>
              <w:rPr>
                <w:rFonts w:ascii="等线" w:hAnsi="等线" w:eastAsia="等线" w:cs="等线"/>
              </w:rPr>
            </w:pPr>
            <w:r>
              <w:rPr>
                <w:rFonts w:hint="eastAsia" w:ascii="等线" w:hAnsi="等线" w:eastAsia="等线" w:cs="等线"/>
                <w:b/>
              </w:rPr>
              <w:t>公共课</w:t>
            </w:r>
          </w:p>
        </w:tc>
        <w:tc>
          <w:tcPr>
            <w:tcW w:w="6609" w:type="dxa"/>
            <w:vAlign w:val="center"/>
          </w:tcPr>
          <w:p w14:paraId="51224C66">
            <w:pPr>
              <w:jc w:val="left"/>
              <w:rPr>
                <w:rFonts w:ascii="等线" w:hAnsi="等线" w:eastAsia="等线" w:cs="等线"/>
              </w:rPr>
            </w:pPr>
            <w:r>
              <w:rPr>
                <w:rFonts w:hint="eastAsia" w:ascii="等线" w:hAnsi="等线" w:eastAsia="等线" w:cs="等线"/>
                <w:color w:val="000000"/>
                <w:kern w:val="0"/>
                <w:szCs w:val="21"/>
              </w:rPr>
              <w:t>马克思主义与社会科学方法论、英语、习近平新时代中国特色社会主义思想专题研究、新时代中国特色社会主义理论与实践</w:t>
            </w:r>
          </w:p>
        </w:tc>
      </w:tr>
      <w:tr w14:paraId="4E3A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67" w:type="dxa"/>
            <w:vMerge w:val="continue"/>
            <w:vAlign w:val="center"/>
          </w:tcPr>
          <w:p w14:paraId="035CF30D">
            <w:pPr>
              <w:jc w:val="center"/>
              <w:rPr>
                <w:rFonts w:ascii="等线" w:hAnsi="等线" w:eastAsia="等线" w:cs="等线"/>
              </w:rPr>
            </w:pPr>
          </w:p>
        </w:tc>
        <w:tc>
          <w:tcPr>
            <w:tcW w:w="1345" w:type="dxa"/>
            <w:vAlign w:val="center"/>
          </w:tcPr>
          <w:p w14:paraId="2A3057FB">
            <w:pPr>
              <w:jc w:val="center"/>
              <w:rPr>
                <w:rFonts w:ascii="等线" w:hAnsi="等线" w:eastAsia="等线" w:cs="等线"/>
                <w:b/>
              </w:rPr>
            </w:pPr>
            <w:r>
              <w:rPr>
                <w:rFonts w:hint="eastAsia" w:ascii="等线" w:hAnsi="等线" w:eastAsia="等线" w:cs="等线"/>
                <w:b/>
              </w:rPr>
              <w:t>基础课</w:t>
            </w:r>
          </w:p>
        </w:tc>
        <w:tc>
          <w:tcPr>
            <w:tcW w:w="6609" w:type="dxa"/>
            <w:vAlign w:val="center"/>
          </w:tcPr>
          <w:p w14:paraId="021B3C61">
            <w:pPr>
              <w:jc w:val="left"/>
              <w:rPr>
                <w:rFonts w:ascii="等线" w:hAnsi="等线" w:eastAsia="等线" w:cs="等线"/>
              </w:rPr>
            </w:pPr>
            <w:r>
              <w:rPr>
                <w:rFonts w:hint="eastAsia" w:ascii="等线" w:hAnsi="等线" w:eastAsia="等线" w:cs="等线"/>
              </w:rPr>
              <w:t>社会研究方法、社会史研究的理论和方法、社会学理论前沿</w:t>
            </w:r>
          </w:p>
        </w:tc>
      </w:tr>
      <w:tr w14:paraId="1BD8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67" w:type="dxa"/>
            <w:vMerge w:val="continue"/>
            <w:vAlign w:val="center"/>
          </w:tcPr>
          <w:p w14:paraId="4E6C2DB2">
            <w:pPr>
              <w:jc w:val="center"/>
              <w:rPr>
                <w:rFonts w:ascii="等线" w:hAnsi="等线" w:eastAsia="等线" w:cs="等线"/>
              </w:rPr>
            </w:pPr>
          </w:p>
        </w:tc>
        <w:tc>
          <w:tcPr>
            <w:tcW w:w="1345" w:type="dxa"/>
            <w:vAlign w:val="center"/>
          </w:tcPr>
          <w:p w14:paraId="38358D90">
            <w:pPr>
              <w:jc w:val="center"/>
              <w:rPr>
                <w:rFonts w:ascii="等线" w:hAnsi="等线" w:eastAsia="等线" w:cs="等线"/>
                <w:b/>
              </w:rPr>
            </w:pPr>
            <w:r>
              <w:rPr>
                <w:rFonts w:hint="eastAsia" w:ascii="等线" w:hAnsi="等线" w:eastAsia="等线" w:cs="等线"/>
                <w:b/>
              </w:rPr>
              <w:t>专业必修课</w:t>
            </w:r>
          </w:p>
        </w:tc>
        <w:tc>
          <w:tcPr>
            <w:tcW w:w="6609" w:type="dxa"/>
            <w:vAlign w:val="center"/>
          </w:tcPr>
          <w:p w14:paraId="47527063">
            <w:pPr>
              <w:jc w:val="left"/>
              <w:rPr>
                <w:rFonts w:ascii="等线" w:hAnsi="等线" w:eastAsia="等线" w:cs="等线"/>
              </w:rPr>
            </w:pPr>
            <w:r>
              <w:rPr>
                <w:rFonts w:hint="eastAsia" w:ascii="等线" w:hAnsi="等线" w:eastAsia="等线" w:cs="等线"/>
                <w:color w:val="000000"/>
                <w:kern w:val="0"/>
                <w:szCs w:val="21"/>
              </w:rPr>
              <w:t>马克思主义与社会科学方法论、英语、习近平新时代中国特色社会主义思想专题研究、新时代中国特色社会主义理论与实践</w:t>
            </w:r>
          </w:p>
        </w:tc>
      </w:tr>
      <w:tr w14:paraId="6B1E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7" w:type="dxa"/>
            <w:vMerge w:val="continue"/>
            <w:vAlign w:val="center"/>
          </w:tcPr>
          <w:p w14:paraId="77B3903B">
            <w:pPr>
              <w:jc w:val="center"/>
              <w:rPr>
                <w:rFonts w:ascii="等线" w:hAnsi="等线" w:eastAsia="等线" w:cs="等线"/>
              </w:rPr>
            </w:pPr>
          </w:p>
        </w:tc>
        <w:tc>
          <w:tcPr>
            <w:tcW w:w="1345" w:type="dxa"/>
            <w:vAlign w:val="center"/>
          </w:tcPr>
          <w:p w14:paraId="185AE187">
            <w:pPr>
              <w:jc w:val="center"/>
              <w:rPr>
                <w:rFonts w:ascii="等线" w:hAnsi="等线" w:eastAsia="等线" w:cs="等线"/>
                <w:b/>
              </w:rPr>
            </w:pPr>
            <w:r>
              <w:rPr>
                <w:rFonts w:hint="eastAsia" w:ascii="等线" w:hAnsi="等线" w:eastAsia="等线" w:cs="等线"/>
                <w:b/>
              </w:rPr>
              <w:t>专业选修课</w:t>
            </w:r>
          </w:p>
        </w:tc>
        <w:tc>
          <w:tcPr>
            <w:tcW w:w="6609" w:type="dxa"/>
            <w:vAlign w:val="center"/>
          </w:tcPr>
          <w:p w14:paraId="51834DE8">
            <w:pPr>
              <w:jc w:val="left"/>
              <w:rPr>
                <w:rFonts w:ascii="等线" w:hAnsi="等线" w:eastAsia="等线" w:cs="等线"/>
              </w:rPr>
            </w:pPr>
            <w:r>
              <w:rPr>
                <w:rFonts w:hint="eastAsia" w:ascii="等线" w:hAnsi="等线" w:eastAsia="等线" w:cs="等线"/>
              </w:rPr>
              <w:t>社会主义经济理论、应用社会学、人类学、人力资源管理专题研究、发展心理学、心理咨询与辅导、心理学与生活、工作分析与职位评估、教育心理学、人格心理学</w:t>
            </w:r>
          </w:p>
        </w:tc>
      </w:tr>
    </w:tbl>
    <w:p w14:paraId="4D9CFE19">
      <w:pPr>
        <w:autoSpaceDE w:val="0"/>
        <w:autoSpaceDN w:val="0"/>
        <w:adjustRightInd w:val="0"/>
        <w:jc w:val="left"/>
        <w:rPr>
          <w:rFonts w:ascii="等线" w:hAnsi="等线" w:eastAsia="等线" w:cs="等线"/>
          <w:kern w:val="0"/>
          <w:sz w:val="22"/>
        </w:rPr>
      </w:pPr>
    </w:p>
    <w:tbl>
      <w:tblPr>
        <w:tblStyle w:val="8"/>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345"/>
        <w:gridCol w:w="6609"/>
      </w:tblGrid>
      <w:tr w14:paraId="75B3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21" w:type="dxa"/>
            <w:gridSpan w:val="3"/>
            <w:shd w:val="clear" w:color="auto" w:fill="4F81BD" w:themeFill="accent1"/>
            <w:vAlign w:val="center"/>
          </w:tcPr>
          <w:p w14:paraId="06BFD51A">
            <w:pPr>
              <w:jc w:val="center"/>
              <w:rPr>
                <w:rFonts w:ascii="等线" w:hAnsi="等线" w:eastAsia="等线" w:cs="等线"/>
                <w:color w:val="FFFFFF" w:themeColor="background1"/>
              </w:rPr>
            </w:pPr>
            <w:r>
              <w:rPr>
                <w:rFonts w:hint="eastAsia" w:ascii="等线" w:hAnsi="等线" w:eastAsia="等线" w:cs="等线"/>
                <w:b/>
                <w:color w:val="FFFFFF" w:themeColor="background1"/>
                <w:sz w:val="24"/>
                <w:szCs w:val="24"/>
              </w:rPr>
              <w:t>招生专业：新闻学专业</w:t>
            </w:r>
          </w:p>
        </w:tc>
      </w:tr>
      <w:tr w14:paraId="797B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412" w:type="dxa"/>
            <w:gridSpan w:val="2"/>
            <w:vAlign w:val="center"/>
          </w:tcPr>
          <w:p w14:paraId="4C4467A4">
            <w:pPr>
              <w:jc w:val="center"/>
              <w:rPr>
                <w:rFonts w:ascii="等线" w:hAnsi="等线" w:eastAsia="等线" w:cs="等线"/>
                <w:b/>
              </w:rPr>
            </w:pPr>
            <w:r>
              <w:rPr>
                <w:rFonts w:hint="eastAsia" w:ascii="等线" w:hAnsi="等线" w:eastAsia="等线" w:cs="等线"/>
                <w:b/>
              </w:rPr>
              <w:t>课程方向</w:t>
            </w:r>
          </w:p>
        </w:tc>
        <w:tc>
          <w:tcPr>
            <w:tcW w:w="6609" w:type="dxa"/>
            <w:vAlign w:val="center"/>
          </w:tcPr>
          <w:p w14:paraId="0337B055">
            <w:pPr>
              <w:jc w:val="center"/>
              <w:rPr>
                <w:rFonts w:ascii="等线" w:hAnsi="等线" w:eastAsia="等线" w:cs="等线"/>
                <w:b/>
                <w:color w:val="1F497D" w:themeColor="text2"/>
                <w:kern w:val="0"/>
                <w:szCs w:val="21"/>
              </w:rPr>
            </w:pPr>
            <w:r>
              <w:rPr>
                <w:rFonts w:hint="eastAsia" w:ascii="等线" w:hAnsi="等线" w:eastAsia="等线" w:cs="等线"/>
                <w:b/>
                <w:color w:val="1F497D" w:themeColor="text2"/>
                <w:kern w:val="0"/>
                <w:szCs w:val="21"/>
              </w:rPr>
              <w:t>整合营销与品牌创新方向</w:t>
            </w:r>
          </w:p>
          <w:p w14:paraId="665A1608">
            <w:pPr>
              <w:jc w:val="center"/>
              <w:rPr>
                <w:rFonts w:ascii="等线" w:hAnsi="等线" w:eastAsia="等线" w:cs="等线"/>
                <w:b/>
                <w:color w:val="1F497D" w:themeColor="text2"/>
                <w:kern w:val="0"/>
                <w:szCs w:val="21"/>
              </w:rPr>
            </w:pPr>
            <w:r>
              <w:rPr>
                <w:rFonts w:hint="eastAsia" w:ascii="等线" w:hAnsi="等线" w:eastAsia="等线" w:cs="等线"/>
                <w:b/>
                <w:color w:val="1F497D" w:themeColor="text2"/>
                <w:kern w:val="0"/>
                <w:szCs w:val="21"/>
              </w:rPr>
              <w:t>广告策划与文化传播方向</w:t>
            </w:r>
          </w:p>
          <w:p w14:paraId="1687FD84">
            <w:pPr>
              <w:jc w:val="center"/>
              <w:rPr>
                <w:rFonts w:ascii="等线" w:hAnsi="等线" w:eastAsia="等线" w:cs="等线"/>
              </w:rPr>
            </w:pPr>
            <w:r>
              <w:rPr>
                <w:rFonts w:hint="eastAsia" w:ascii="等线" w:hAnsi="等线" w:eastAsia="等线" w:cs="等线"/>
                <w:b/>
                <w:color w:val="1F497D" w:themeColor="text2"/>
                <w:kern w:val="0"/>
                <w:szCs w:val="21"/>
              </w:rPr>
              <w:t>新媒体互联网方向</w:t>
            </w:r>
          </w:p>
        </w:tc>
      </w:tr>
      <w:tr w14:paraId="7F83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67" w:type="dxa"/>
            <w:vMerge w:val="restart"/>
            <w:vAlign w:val="center"/>
          </w:tcPr>
          <w:p w14:paraId="3A852C99">
            <w:pPr>
              <w:jc w:val="center"/>
              <w:rPr>
                <w:rFonts w:ascii="等线" w:hAnsi="等线" w:eastAsia="等线" w:cs="等线"/>
              </w:rPr>
            </w:pPr>
            <w:r>
              <w:rPr>
                <w:rFonts w:hint="eastAsia" w:ascii="等线" w:hAnsi="等线" w:eastAsia="等线" w:cs="等线"/>
                <w:b/>
              </w:rPr>
              <w:t>课程设置</w:t>
            </w:r>
          </w:p>
        </w:tc>
        <w:tc>
          <w:tcPr>
            <w:tcW w:w="1345" w:type="dxa"/>
            <w:vAlign w:val="center"/>
          </w:tcPr>
          <w:p w14:paraId="50157751">
            <w:pPr>
              <w:jc w:val="center"/>
              <w:rPr>
                <w:rFonts w:ascii="等线" w:hAnsi="等线" w:eastAsia="等线" w:cs="等线"/>
              </w:rPr>
            </w:pPr>
            <w:r>
              <w:rPr>
                <w:rFonts w:hint="eastAsia" w:ascii="等线" w:hAnsi="等线" w:eastAsia="等线" w:cs="等线"/>
                <w:b/>
              </w:rPr>
              <w:t>公共课</w:t>
            </w:r>
          </w:p>
        </w:tc>
        <w:tc>
          <w:tcPr>
            <w:tcW w:w="6609" w:type="dxa"/>
            <w:vAlign w:val="center"/>
          </w:tcPr>
          <w:p w14:paraId="56E3458E">
            <w:pPr>
              <w:jc w:val="left"/>
              <w:rPr>
                <w:rFonts w:ascii="等线" w:hAnsi="等线" w:eastAsia="等线" w:cs="等线"/>
              </w:rPr>
            </w:pPr>
            <w:r>
              <w:rPr>
                <w:rFonts w:hint="eastAsia" w:ascii="等线" w:hAnsi="等线" w:eastAsia="等线" w:cs="等线"/>
                <w:color w:val="000000"/>
                <w:kern w:val="0"/>
                <w:szCs w:val="21"/>
              </w:rPr>
              <w:t>马克思主义与社会科学方法论、英语、习近平新时代中国特色社会主义思想专题研究、新时代中国特色社会主义理论与实践</w:t>
            </w:r>
          </w:p>
        </w:tc>
      </w:tr>
      <w:tr w14:paraId="1355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67" w:type="dxa"/>
            <w:vMerge w:val="continue"/>
            <w:vAlign w:val="center"/>
          </w:tcPr>
          <w:p w14:paraId="0A373249">
            <w:pPr>
              <w:jc w:val="center"/>
              <w:rPr>
                <w:rFonts w:ascii="等线" w:hAnsi="等线" w:eastAsia="等线" w:cs="等线"/>
              </w:rPr>
            </w:pPr>
          </w:p>
        </w:tc>
        <w:tc>
          <w:tcPr>
            <w:tcW w:w="1345" w:type="dxa"/>
            <w:vAlign w:val="center"/>
          </w:tcPr>
          <w:p w14:paraId="1911FC17">
            <w:pPr>
              <w:jc w:val="center"/>
              <w:rPr>
                <w:rFonts w:ascii="等线" w:hAnsi="等线" w:eastAsia="等线" w:cs="等线"/>
                <w:b/>
              </w:rPr>
            </w:pPr>
            <w:r>
              <w:rPr>
                <w:rFonts w:hint="eastAsia" w:ascii="等线" w:hAnsi="等线" w:eastAsia="等线" w:cs="等线"/>
                <w:b/>
              </w:rPr>
              <w:t>基础课</w:t>
            </w:r>
          </w:p>
        </w:tc>
        <w:tc>
          <w:tcPr>
            <w:tcW w:w="6609" w:type="dxa"/>
            <w:vAlign w:val="center"/>
          </w:tcPr>
          <w:p w14:paraId="6BFBECD5">
            <w:pPr>
              <w:jc w:val="left"/>
              <w:rPr>
                <w:rFonts w:ascii="等线" w:hAnsi="等线" w:eastAsia="等线" w:cs="等线"/>
              </w:rPr>
            </w:pPr>
            <w:r>
              <w:rPr>
                <w:rFonts w:hint="eastAsia" w:ascii="等线" w:hAnsi="等线" w:eastAsia="等线" w:cs="等线"/>
              </w:rPr>
              <w:t>新闻学理论与原著导读、中国经济分析、当代中国新闻媒体研究</w:t>
            </w:r>
          </w:p>
        </w:tc>
      </w:tr>
      <w:tr w14:paraId="2799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067" w:type="dxa"/>
            <w:vMerge w:val="continue"/>
            <w:vAlign w:val="center"/>
          </w:tcPr>
          <w:p w14:paraId="59CEA605">
            <w:pPr>
              <w:jc w:val="center"/>
              <w:rPr>
                <w:rFonts w:ascii="等线" w:hAnsi="等线" w:eastAsia="等线" w:cs="等线"/>
              </w:rPr>
            </w:pPr>
          </w:p>
        </w:tc>
        <w:tc>
          <w:tcPr>
            <w:tcW w:w="1345" w:type="dxa"/>
            <w:vAlign w:val="center"/>
          </w:tcPr>
          <w:p w14:paraId="0376E821">
            <w:pPr>
              <w:jc w:val="center"/>
              <w:rPr>
                <w:rFonts w:ascii="等线" w:hAnsi="等线" w:eastAsia="等线" w:cs="等线"/>
                <w:b/>
              </w:rPr>
            </w:pPr>
            <w:r>
              <w:rPr>
                <w:rFonts w:hint="eastAsia" w:ascii="等线" w:hAnsi="等线" w:eastAsia="等线" w:cs="等线"/>
                <w:b/>
              </w:rPr>
              <w:t>专业必修课</w:t>
            </w:r>
          </w:p>
        </w:tc>
        <w:tc>
          <w:tcPr>
            <w:tcW w:w="6609" w:type="dxa"/>
            <w:vAlign w:val="center"/>
          </w:tcPr>
          <w:p w14:paraId="4E3A28BE">
            <w:pPr>
              <w:jc w:val="left"/>
              <w:rPr>
                <w:rFonts w:ascii="等线" w:hAnsi="等线" w:eastAsia="等线" w:cs="等线"/>
              </w:rPr>
            </w:pPr>
            <w:r>
              <w:rPr>
                <w:rFonts w:hint="eastAsia" w:ascii="等线" w:hAnsi="等线" w:eastAsia="等线" w:cs="等线"/>
              </w:rPr>
              <w:t>新闻业务专题、广告与传媒、媒介经济学基础、数据新闻：概念、方法与案例分析、财经报道研究、新闻学研究方法</w:t>
            </w:r>
          </w:p>
        </w:tc>
      </w:tr>
      <w:tr w14:paraId="4819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67" w:type="dxa"/>
            <w:vMerge w:val="continue"/>
            <w:vAlign w:val="center"/>
          </w:tcPr>
          <w:p w14:paraId="126E48FD">
            <w:pPr>
              <w:jc w:val="center"/>
              <w:rPr>
                <w:rFonts w:ascii="等线" w:hAnsi="等线" w:eastAsia="等线" w:cs="等线"/>
              </w:rPr>
            </w:pPr>
          </w:p>
        </w:tc>
        <w:tc>
          <w:tcPr>
            <w:tcW w:w="1345" w:type="dxa"/>
            <w:vAlign w:val="center"/>
          </w:tcPr>
          <w:p w14:paraId="0B7CF91F">
            <w:pPr>
              <w:jc w:val="center"/>
              <w:rPr>
                <w:rFonts w:ascii="等线" w:hAnsi="等线" w:eastAsia="等线" w:cs="等线"/>
                <w:b/>
              </w:rPr>
            </w:pPr>
            <w:r>
              <w:rPr>
                <w:rFonts w:hint="eastAsia" w:ascii="等线" w:hAnsi="等线" w:eastAsia="等线" w:cs="等线"/>
                <w:b/>
              </w:rPr>
              <w:t>专业选修课</w:t>
            </w:r>
          </w:p>
        </w:tc>
        <w:tc>
          <w:tcPr>
            <w:tcW w:w="6609" w:type="dxa"/>
            <w:vAlign w:val="center"/>
          </w:tcPr>
          <w:p w14:paraId="4ACBE082">
            <w:pPr>
              <w:jc w:val="left"/>
              <w:rPr>
                <w:rFonts w:ascii="等线" w:hAnsi="等线" w:eastAsia="等线" w:cs="等线"/>
              </w:rPr>
            </w:pPr>
            <w:r>
              <w:rPr>
                <w:rFonts w:hint="eastAsia" w:ascii="等线" w:hAnsi="等线" w:eastAsia="等线" w:cs="等线"/>
              </w:rPr>
              <w:t>社会主义经济理论、中外新闻史、纪录片研究、媒介营销、企业战略与品牌传播、中外财经电视节目比较、新媒法规与伦理、品牌经济与品牌文化、传播学理论、新媒体研究</w:t>
            </w:r>
          </w:p>
        </w:tc>
      </w:tr>
    </w:tbl>
    <w:p w14:paraId="3DCFBD03">
      <w:pPr>
        <w:rPr>
          <w:rFonts w:ascii="等线" w:hAnsi="等线" w:eastAsia="等线" w:cs="等线"/>
        </w:rPr>
      </w:pPr>
    </w:p>
    <w:p w14:paraId="24998B99">
      <w:pPr>
        <w:rPr>
          <w:rFonts w:ascii="等线" w:hAnsi="等线" w:eastAsia="等线" w:cs="等线"/>
        </w:rPr>
      </w:pPr>
      <w:r>
        <w:rPr>
          <w:rFonts w:hint="eastAsia" w:ascii="等线" w:hAnsi="等线" w:eastAsia="等线" w:cs="等线"/>
        </w:rPr>
        <w:t>（*课程设置：本项目以学习培养计划开设的课程为主。课程方向为增值服务，根据学员所选课程方向提供1-2门选修课程或共享前沿讲座。具体开设的专业、课程、课程方向根据招生人数进行调整，以实际情况为准。）</w:t>
      </w:r>
    </w:p>
    <w:p w14:paraId="3A12F110">
      <w:pPr>
        <w:rPr>
          <w:rFonts w:ascii="等线" w:hAnsi="等线" w:eastAsia="等线" w:cs="等线"/>
          <w:b/>
          <w:color w:val="1F497D" w:themeColor="text2"/>
          <w:sz w:val="24"/>
          <w:szCs w:val="24"/>
        </w:rPr>
      </w:pPr>
      <w:r>
        <w:rPr>
          <w:rFonts w:ascii="等线" w:hAnsi="等线" w:eastAsia="等线" w:cs="等线"/>
          <w:b/>
          <w:color w:val="1F497D" w:themeColor="text2"/>
          <w:sz w:val="24"/>
          <w:szCs w:val="24"/>
        </w:rPr>
        <w:pict>
          <v:shape id="_x0000_s1042" o:spid="_x0000_s1042" o:spt="32" type="#_x0000_t32" style="position:absolute;left:0pt;margin-left:-1.8pt;margin-top:29.2pt;height:0pt;width:410.25pt;z-index:251669504;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增值服务</w:t>
      </w:r>
    </w:p>
    <w:p w14:paraId="1EC82086">
      <w:pPr>
        <w:rPr>
          <w:rFonts w:ascii="等线" w:hAnsi="等线" w:eastAsia="等线" w:cs="等线"/>
          <w:b/>
          <w:color w:val="C00000"/>
        </w:rPr>
      </w:pPr>
    </w:p>
    <w:p w14:paraId="735EFF43">
      <w:pPr>
        <w:pStyle w:val="17"/>
        <w:numPr>
          <w:ilvl w:val="0"/>
          <w:numId w:val="2"/>
        </w:numPr>
        <w:ind w:firstLineChars="0"/>
        <w:rPr>
          <w:rFonts w:ascii="等线" w:hAnsi="等线" w:eastAsia="等线" w:cs="等线"/>
          <w:b/>
        </w:rPr>
      </w:pPr>
      <w:r>
        <w:rPr>
          <w:rFonts w:hint="eastAsia" w:ascii="等线" w:hAnsi="等线" w:eastAsia="等线" w:cs="等线"/>
          <w:b/>
        </w:rPr>
        <w:t>校园服务</w:t>
      </w:r>
    </w:p>
    <w:p w14:paraId="2179D249">
      <w:pPr>
        <w:rPr>
          <w:rFonts w:ascii="等线" w:hAnsi="等线" w:eastAsia="等线" w:cs="等线"/>
        </w:rPr>
      </w:pPr>
      <w:r>
        <w:rPr>
          <w:rFonts w:hint="eastAsia" w:ascii="等线" w:hAnsi="等线" w:eastAsia="等线" w:cs="等线"/>
        </w:rPr>
        <w:t>参加本培训班的学员可享有专属校园卡进出校园、用餐及图书馆文献检索服务。</w:t>
      </w:r>
    </w:p>
    <w:p w14:paraId="5E8A67BF">
      <w:pPr>
        <w:rPr>
          <w:rFonts w:ascii="等线" w:hAnsi="等线" w:eastAsia="等线" w:cs="等线"/>
        </w:rPr>
      </w:pPr>
    </w:p>
    <w:p w14:paraId="78E7406C">
      <w:pPr>
        <w:pStyle w:val="17"/>
        <w:numPr>
          <w:ilvl w:val="0"/>
          <w:numId w:val="3"/>
        </w:numPr>
        <w:ind w:firstLineChars="0"/>
        <w:rPr>
          <w:rFonts w:ascii="等线" w:hAnsi="等线" w:eastAsia="等线" w:cs="等线"/>
          <w:b/>
        </w:rPr>
      </w:pPr>
      <w:r>
        <w:rPr>
          <w:rFonts w:hint="eastAsia" w:ascii="等线" w:hAnsi="等线" w:eastAsia="等线" w:cs="等线"/>
          <w:b/>
        </w:rPr>
        <w:t>额外课程</w:t>
      </w:r>
    </w:p>
    <w:p w14:paraId="3014E828">
      <w:pPr>
        <w:rPr>
          <w:rFonts w:ascii="等线" w:hAnsi="等线" w:eastAsia="等线" w:cs="等线"/>
        </w:rPr>
      </w:pPr>
      <w:r>
        <w:rPr>
          <w:rFonts w:hint="eastAsia" w:ascii="等线" w:hAnsi="等线" w:eastAsia="等线" w:cs="等线"/>
        </w:rPr>
        <w:t>本培训班的学员在完成本专业课程后可共享学习其他专业课程及参加专属前沿讲座。</w:t>
      </w:r>
    </w:p>
    <w:p w14:paraId="656874A5">
      <w:pPr>
        <w:rPr>
          <w:rFonts w:ascii="等线" w:hAnsi="等线" w:eastAsia="等线" w:cs="等线"/>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5"/>
      </w:tblGrid>
      <w:tr w14:paraId="7A0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6F3E441C">
            <w:pPr>
              <w:jc w:val="center"/>
              <w:rPr>
                <w:rFonts w:ascii="等线" w:hAnsi="等线" w:eastAsia="等线" w:cs="等线"/>
              </w:rPr>
            </w:pPr>
            <w:r>
              <w:rPr>
                <w:rFonts w:ascii="等线" w:hAnsi="等线" w:eastAsia="等线" w:cs="等线"/>
              </w:rPr>
              <w:t>中华传统文化与现代企业管理</w:t>
            </w:r>
          </w:p>
        </w:tc>
        <w:tc>
          <w:tcPr>
            <w:tcW w:w="4195" w:type="dxa"/>
            <w:vAlign w:val="center"/>
          </w:tcPr>
          <w:p w14:paraId="3F9A546D">
            <w:pPr>
              <w:jc w:val="center"/>
              <w:rPr>
                <w:rFonts w:ascii="等线" w:hAnsi="等线" w:eastAsia="等线" w:cs="等线"/>
              </w:rPr>
            </w:pPr>
            <w:r>
              <w:rPr>
                <w:rFonts w:hint="eastAsia" w:ascii="等线" w:hAnsi="等线" w:eastAsia="等线" w:cs="等线"/>
              </w:rPr>
              <w:t>人力</w:t>
            </w:r>
            <w:r>
              <w:rPr>
                <w:rFonts w:ascii="等线" w:hAnsi="等线" w:eastAsia="等线" w:cs="等线"/>
              </w:rPr>
              <w:t>资源管理</w:t>
            </w:r>
            <w:r>
              <w:rPr>
                <w:rFonts w:hint="eastAsia" w:ascii="等线" w:hAnsi="等线" w:eastAsia="等线" w:cs="等线"/>
              </w:rPr>
              <w:t>概论</w:t>
            </w:r>
            <w:r>
              <w:rPr>
                <w:rFonts w:ascii="等线" w:hAnsi="等线" w:eastAsia="等线" w:cs="等线"/>
              </w:rPr>
              <w:t>与</w:t>
            </w:r>
            <w:r>
              <w:rPr>
                <w:rFonts w:hint="eastAsia" w:ascii="等线" w:hAnsi="等线" w:eastAsia="等线" w:cs="等线"/>
              </w:rPr>
              <w:t>转型</w:t>
            </w:r>
            <w:r>
              <w:rPr>
                <w:rFonts w:ascii="等线" w:hAnsi="等线" w:eastAsia="等线" w:cs="等线"/>
              </w:rPr>
              <w:t>HR</w:t>
            </w:r>
            <w:r>
              <w:rPr>
                <w:rFonts w:hint="eastAsia" w:ascii="等线" w:hAnsi="等线" w:eastAsia="等线" w:cs="等线"/>
              </w:rPr>
              <w:t>的</w:t>
            </w:r>
            <w:r>
              <w:rPr>
                <w:rFonts w:ascii="等线" w:hAnsi="等线" w:eastAsia="等线" w:cs="等线"/>
              </w:rPr>
              <w:t>自我修养</w:t>
            </w:r>
          </w:p>
        </w:tc>
      </w:tr>
      <w:tr w14:paraId="4DF3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3C6E5FC2">
            <w:pPr>
              <w:jc w:val="center"/>
              <w:rPr>
                <w:rFonts w:ascii="等线" w:hAnsi="等线" w:eastAsia="等线" w:cs="等线"/>
              </w:rPr>
            </w:pPr>
            <w:r>
              <w:rPr>
                <w:rFonts w:hint="eastAsia" w:ascii="等线" w:hAnsi="等线" w:eastAsia="等线" w:cs="等线"/>
              </w:rPr>
              <w:t>行为</w:t>
            </w:r>
            <w:r>
              <w:rPr>
                <w:rFonts w:ascii="等线" w:hAnsi="等线" w:eastAsia="等线" w:cs="等线"/>
              </w:rPr>
              <w:t>经济学</w:t>
            </w:r>
          </w:p>
        </w:tc>
        <w:tc>
          <w:tcPr>
            <w:tcW w:w="4195" w:type="dxa"/>
            <w:vAlign w:val="center"/>
          </w:tcPr>
          <w:p w14:paraId="388A027F">
            <w:pPr>
              <w:jc w:val="center"/>
              <w:rPr>
                <w:rFonts w:ascii="等线" w:hAnsi="等线" w:eastAsia="等线" w:cs="等线"/>
              </w:rPr>
            </w:pPr>
            <w:r>
              <w:rPr>
                <w:rFonts w:hint="eastAsia" w:ascii="等线" w:hAnsi="等线" w:eastAsia="等线" w:cs="等线"/>
              </w:rPr>
              <w:t>数据</w:t>
            </w:r>
            <w:r>
              <w:rPr>
                <w:rFonts w:ascii="等线" w:hAnsi="等线" w:eastAsia="等线" w:cs="等线"/>
              </w:rPr>
              <w:t>时代的推断陷阱</w:t>
            </w:r>
          </w:p>
        </w:tc>
      </w:tr>
      <w:tr w14:paraId="2984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33061961">
            <w:pPr>
              <w:jc w:val="center"/>
              <w:rPr>
                <w:rFonts w:ascii="等线" w:hAnsi="等线" w:eastAsia="等线" w:cs="等线"/>
              </w:rPr>
            </w:pPr>
            <w:r>
              <w:rPr>
                <w:rFonts w:hint="eastAsia" w:ascii="等线" w:hAnsi="等线" w:eastAsia="等线" w:cs="等线"/>
              </w:rPr>
              <w:t>新时代全媒体舆情与危机处置</w:t>
            </w:r>
          </w:p>
        </w:tc>
        <w:tc>
          <w:tcPr>
            <w:tcW w:w="4195" w:type="dxa"/>
            <w:vAlign w:val="center"/>
          </w:tcPr>
          <w:p w14:paraId="664906AE">
            <w:pPr>
              <w:jc w:val="center"/>
              <w:rPr>
                <w:rFonts w:ascii="等线" w:hAnsi="等线" w:eastAsia="等线" w:cs="等线"/>
              </w:rPr>
            </w:pPr>
            <w:r>
              <w:rPr>
                <w:rFonts w:hint="eastAsia" w:ascii="等线" w:hAnsi="等线" w:eastAsia="等线" w:cs="等线"/>
              </w:rPr>
              <w:t>运用新媒体打造企业流量</w:t>
            </w:r>
          </w:p>
        </w:tc>
      </w:tr>
      <w:tr w14:paraId="29C3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5645778A">
            <w:pPr>
              <w:jc w:val="center"/>
              <w:rPr>
                <w:rFonts w:ascii="等线" w:hAnsi="等线" w:eastAsia="等线" w:cs="等线"/>
              </w:rPr>
            </w:pPr>
            <w:r>
              <w:rPr>
                <w:rFonts w:hint="eastAsia" w:ascii="等线" w:hAnsi="等线" w:eastAsia="等线" w:cs="等线"/>
              </w:rPr>
              <w:t>设计与管理整合营销传播</w:t>
            </w:r>
          </w:p>
        </w:tc>
        <w:tc>
          <w:tcPr>
            <w:tcW w:w="4195" w:type="dxa"/>
            <w:vAlign w:val="center"/>
          </w:tcPr>
          <w:p w14:paraId="3E961187">
            <w:pPr>
              <w:jc w:val="center"/>
              <w:rPr>
                <w:rFonts w:ascii="等线" w:hAnsi="等线" w:eastAsia="等线" w:cs="等线"/>
              </w:rPr>
            </w:pPr>
            <w:r>
              <w:rPr>
                <w:rFonts w:hint="eastAsia" w:ascii="等线" w:hAnsi="等线" w:eastAsia="等线" w:cs="等线"/>
              </w:rPr>
              <w:t>数字经济赋能商业模式创新</w:t>
            </w:r>
          </w:p>
        </w:tc>
      </w:tr>
      <w:tr w14:paraId="4BC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4D2870E4">
            <w:pPr>
              <w:jc w:val="center"/>
              <w:rPr>
                <w:rFonts w:ascii="等线" w:hAnsi="等线" w:eastAsia="等线" w:cs="等线"/>
              </w:rPr>
            </w:pPr>
            <w:r>
              <w:rPr>
                <w:rFonts w:hint="eastAsia" w:ascii="等线" w:hAnsi="等线" w:eastAsia="等线" w:cs="等线"/>
              </w:rPr>
              <w:t>社会设计视角下的老年社会工作</w:t>
            </w:r>
          </w:p>
        </w:tc>
        <w:tc>
          <w:tcPr>
            <w:tcW w:w="4195" w:type="dxa"/>
            <w:vAlign w:val="center"/>
          </w:tcPr>
          <w:p w14:paraId="5DD3B9DD">
            <w:pPr>
              <w:jc w:val="center"/>
              <w:rPr>
                <w:rFonts w:ascii="等线" w:hAnsi="等线" w:eastAsia="等线" w:cs="等线"/>
              </w:rPr>
            </w:pPr>
            <w:r>
              <w:rPr>
                <w:rFonts w:hint="eastAsia" w:ascii="等线" w:hAnsi="等线" w:eastAsia="等线" w:cs="等线"/>
              </w:rPr>
              <w:t>广告策划与创意</w:t>
            </w:r>
          </w:p>
        </w:tc>
      </w:tr>
    </w:tbl>
    <w:p w14:paraId="672DB3B1">
      <w:pPr>
        <w:jc w:val="left"/>
        <w:rPr>
          <w:rFonts w:ascii="等线" w:hAnsi="等线" w:eastAsia="等线" w:cs="等线"/>
        </w:rPr>
      </w:pPr>
      <w:r>
        <w:rPr>
          <w:rFonts w:hint="eastAsia" w:ascii="等线" w:hAnsi="等线" w:eastAsia="等线" w:cs="等线"/>
        </w:rPr>
        <w:t>*</w:t>
      </w:r>
      <w:r>
        <w:rPr>
          <w:rFonts w:hint="eastAsia" w:ascii="等线" w:hAnsi="等线" w:eastAsia="等线" w:cs="等线"/>
          <w:sz w:val="18"/>
          <w:szCs w:val="18"/>
        </w:rPr>
        <w:t>仅列举部分本专业前沿讲座，可共享学习其他专业前沿讲座。拟开设的讲座以实际情况为准。</w:t>
      </w:r>
    </w:p>
    <w:p w14:paraId="165AF043">
      <w:pPr>
        <w:rPr>
          <w:rFonts w:ascii="等线" w:hAnsi="等线" w:eastAsia="等线" w:cs="等线"/>
        </w:rPr>
      </w:pPr>
    </w:p>
    <w:p w14:paraId="0A957A1D">
      <w:pPr>
        <w:pStyle w:val="17"/>
        <w:numPr>
          <w:ilvl w:val="0"/>
          <w:numId w:val="4"/>
        </w:numPr>
        <w:ind w:firstLineChars="0"/>
        <w:rPr>
          <w:rFonts w:ascii="等线" w:hAnsi="等线" w:eastAsia="等线" w:cs="等线"/>
          <w:b/>
        </w:rPr>
      </w:pPr>
      <w:r>
        <w:rPr>
          <w:rFonts w:hint="eastAsia" w:ascii="等线" w:hAnsi="等线" w:eastAsia="等线" w:cs="等线"/>
          <w:b/>
        </w:rPr>
        <w:t>校友资源</w:t>
      </w:r>
    </w:p>
    <w:p w14:paraId="7B8C84BE">
      <w:pPr>
        <w:rPr>
          <w:rFonts w:ascii="等线" w:hAnsi="等线" w:eastAsia="等线" w:cs="等线"/>
        </w:rPr>
      </w:pPr>
      <w:r>
        <w:rPr>
          <w:rFonts w:hint="eastAsia" w:ascii="等线" w:hAnsi="等线" w:eastAsia="等线" w:cs="等线"/>
        </w:rPr>
        <w:t>参加在职课程培训班即成为上财校友，可参加丰富的校友活动、论坛沙龙等，结识优质人脉，拓展关系网。</w:t>
      </w:r>
    </w:p>
    <w:p w14:paraId="135B7AA0">
      <w:pPr>
        <w:pStyle w:val="17"/>
        <w:numPr>
          <w:ilvl w:val="0"/>
          <w:numId w:val="4"/>
        </w:numPr>
        <w:ind w:firstLineChars="0"/>
        <w:rPr>
          <w:rFonts w:ascii="等线" w:hAnsi="等线" w:eastAsia="等线" w:cs="等线"/>
          <w:b/>
        </w:rPr>
      </w:pPr>
      <w:r>
        <w:rPr>
          <w:rFonts w:hint="eastAsia" w:ascii="等线" w:hAnsi="等线" w:eastAsia="等线" w:cs="等线"/>
          <w:b/>
        </w:rPr>
        <w:t>课外活动</w:t>
      </w:r>
    </w:p>
    <w:p w14:paraId="555745FD">
      <w:pPr>
        <w:rPr>
          <w:rFonts w:ascii="等线" w:hAnsi="等线" w:eastAsia="等线" w:cs="等线"/>
        </w:rPr>
      </w:pPr>
      <w:r>
        <w:rPr>
          <w:rFonts w:hint="eastAsia" w:ascii="等线" w:hAnsi="等线" w:eastAsia="等线" w:cs="等线"/>
        </w:rPr>
        <w:t>除教学内容外，还可参加游学参访、座谈研讨等多种课外实践活动，开拓视野、提升格局。</w:t>
      </w:r>
    </w:p>
    <w:p w14:paraId="05695746">
      <w:pPr>
        <w:pStyle w:val="17"/>
        <w:numPr>
          <w:ilvl w:val="0"/>
          <w:numId w:val="4"/>
        </w:numPr>
        <w:ind w:firstLineChars="0"/>
        <w:rPr>
          <w:rFonts w:ascii="等线" w:hAnsi="等线" w:eastAsia="等线" w:cs="等线"/>
          <w:b/>
        </w:rPr>
      </w:pPr>
      <w:r>
        <w:rPr>
          <w:rFonts w:hint="eastAsia" w:ascii="等线" w:hAnsi="等线" w:eastAsia="等线" w:cs="等线"/>
          <w:b/>
        </w:rPr>
        <w:t>职业咨询</w:t>
      </w:r>
    </w:p>
    <w:p w14:paraId="36CAE1EE">
      <w:pPr>
        <w:rPr>
          <w:rFonts w:ascii="等线" w:hAnsi="等线" w:eastAsia="等线" w:cs="等线"/>
        </w:rPr>
      </w:pPr>
      <w:r>
        <w:rPr>
          <w:rFonts w:hint="eastAsia" w:ascii="等线" w:hAnsi="等线" w:eastAsia="等线" w:cs="等线"/>
        </w:rPr>
        <w:t>专属职业规划服务。</w:t>
      </w:r>
    </w:p>
    <w:p w14:paraId="43347CE0">
      <w:pPr>
        <w:rPr>
          <w:rFonts w:ascii="等线" w:hAnsi="等线" w:eastAsia="等线" w:cs="等线"/>
        </w:rPr>
      </w:pPr>
    </w:p>
    <w:p w14:paraId="4CC5D4DB">
      <w:pPr>
        <w:rPr>
          <w:rFonts w:ascii="等线" w:hAnsi="等线" w:eastAsia="等线" w:cs="等线"/>
          <w:b/>
          <w:color w:val="1F497D" w:themeColor="text2"/>
          <w:sz w:val="24"/>
          <w:szCs w:val="24"/>
        </w:rPr>
      </w:pPr>
      <w:r>
        <w:rPr>
          <w:rFonts w:ascii="等线" w:hAnsi="等线" w:eastAsia="等线" w:cs="等线"/>
          <w:color w:val="1F497D" w:themeColor="text2"/>
          <w:sz w:val="24"/>
          <w:szCs w:val="24"/>
        </w:rPr>
        <w:pict>
          <v:shape id="_x0000_s1035" o:spid="_x0000_s1035" o:spt="32" type="#_x0000_t32" style="position:absolute;left:0pt;margin-left:-3.2pt;margin-top:27.9pt;height:0pt;width:410.25pt;z-index:251665408;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收费标准</w:t>
      </w:r>
    </w:p>
    <w:p w14:paraId="264E5AB8">
      <w:pPr>
        <w:rPr>
          <w:rFonts w:ascii="等线" w:hAnsi="等线" w:eastAsia="等线" w:cs="等线"/>
        </w:rPr>
      </w:pPr>
    </w:p>
    <w:p w14:paraId="2CC10CDC">
      <w:pPr>
        <w:pStyle w:val="17"/>
        <w:numPr>
          <w:ilvl w:val="0"/>
          <w:numId w:val="5"/>
        </w:numPr>
        <w:ind w:firstLineChars="0"/>
        <w:rPr>
          <w:rFonts w:ascii="等线" w:hAnsi="等线" w:eastAsia="等线" w:cs="等线"/>
          <w:b/>
        </w:rPr>
      </w:pPr>
      <w:r>
        <w:rPr>
          <w:rFonts w:hint="eastAsia" w:ascii="等线" w:hAnsi="等线" w:eastAsia="等线" w:cs="等线"/>
          <w:b/>
        </w:rPr>
        <w:t>在职课程培训班（面授班/线上班）费用：4万元/人</w:t>
      </w:r>
    </w:p>
    <w:p w14:paraId="065025E3">
      <w:pPr>
        <w:pStyle w:val="17"/>
        <w:numPr>
          <w:ilvl w:val="0"/>
          <w:numId w:val="5"/>
        </w:numPr>
        <w:ind w:firstLineChars="0"/>
        <w:rPr>
          <w:rFonts w:ascii="等线" w:hAnsi="等线" w:eastAsia="等线" w:cs="等线"/>
        </w:rPr>
      </w:pPr>
      <w:r>
        <w:rPr>
          <w:rFonts w:hint="eastAsia" w:ascii="等线" w:hAnsi="等线" w:eastAsia="等线" w:cs="等线"/>
        </w:rPr>
        <w:t>开学前缴清培训费，开学后学校统一开具《中央非税收入统一票据》。</w:t>
      </w:r>
    </w:p>
    <w:p w14:paraId="54ACE21F">
      <w:pPr>
        <w:pStyle w:val="17"/>
        <w:numPr>
          <w:ilvl w:val="0"/>
          <w:numId w:val="5"/>
        </w:numPr>
        <w:ind w:firstLineChars="0"/>
        <w:rPr>
          <w:rFonts w:ascii="等线" w:hAnsi="等线" w:eastAsia="等线" w:cs="等线"/>
          <w:b/>
        </w:rPr>
      </w:pPr>
      <w:r>
        <w:rPr>
          <w:rFonts w:hint="eastAsia" w:ascii="等线" w:hAnsi="等线" w:eastAsia="等线" w:cs="等线"/>
          <w:b/>
        </w:rPr>
        <w:t>汇款账号：</w:t>
      </w:r>
    </w:p>
    <w:p w14:paraId="1125DDB8">
      <w:pPr>
        <w:ind w:firstLine="735" w:firstLineChars="350"/>
        <w:rPr>
          <w:rFonts w:ascii="等线" w:hAnsi="等线" w:eastAsia="等线" w:cs="等线"/>
          <w:b/>
        </w:rPr>
      </w:pPr>
      <w:r>
        <w:rPr>
          <w:rFonts w:hint="eastAsia" w:ascii="等线" w:hAnsi="等线" w:eastAsia="等线" w:cs="等线"/>
          <w:b/>
        </w:rPr>
        <w:t>户名：上海财经大学</w:t>
      </w:r>
    </w:p>
    <w:p w14:paraId="592CC9AE">
      <w:pPr>
        <w:ind w:firstLine="735" w:firstLineChars="350"/>
        <w:rPr>
          <w:rFonts w:ascii="等线" w:hAnsi="等线" w:eastAsia="等线" w:cs="等线"/>
          <w:b/>
        </w:rPr>
      </w:pPr>
      <w:r>
        <w:rPr>
          <w:rFonts w:hint="eastAsia" w:ascii="等线" w:hAnsi="等线" w:eastAsia="等线" w:cs="等线"/>
          <w:b/>
        </w:rPr>
        <w:t>账号：454673639249</w:t>
      </w:r>
    </w:p>
    <w:p w14:paraId="33C646E4">
      <w:pPr>
        <w:ind w:firstLine="735" w:firstLineChars="350"/>
        <w:rPr>
          <w:rFonts w:ascii="等线" w:hAnsi="等线" w:eastAsia="等线" w:cs="等线"/>
          <w:b/>
        </w:rPr>
      </w:pPr>
      <w:r>
        <w:rPr>
          <w:rFonts w:hint="eastAsia" w:ascii="等线" w:hAnsi="等线" w:eastAsia="等线" w:cs="等线"/>
          <w:b/>
        </w:rPr>
        <w:t>开户行：中国银行上海市五角场支行</w:t>
      </w:r>
    </w:p>
    <w:p w14:paraId="229BC892">
      <w:pPr>
        <w:ind w:firstLine="735" w:firstLineChars="350"/>
        <w:rPr>
          <w:rFonts w:ascii="等线" w:hAnsi="等线" w:eastAsia="等线" w:cs="等线"/>
          <w:color w:val="205968" w:themeColor="accent5" w:themeShade="80"/>
        </w:rPr>
      </w:pPr>
      <w:r>
        <w:rPr>
          <w:rFonts w:hint="eastAsia" w:ascii="等线" w:hAnsi="等线" w:eastAsia="等线" w:cs="等线"/>
          <w:color w:val="205968" w:themeColor="accent5" w:themeShade="80"/>
        </w:rPr>
        <w:t>注：请在用途或备注栏内注明：在职+学院+学员姓名</w:t>
      </w:r>
    </w:p>
    <w:p w14:paraId="35292940">
      <w:pPr>
        <w:pStyle w:val="17"/>
        <w:numPr>
          <w:ilvl w:val="0"/>
          <w:numId w:val="5"/>
        </w:numPr>
        <w:ind w:firstLineChars="0"/>
        <w:rPr>
          <w:rFonts w:ascii="等线" w:hAnsi="等线" w:eastAsia="等线" w:cs="等线"/>
        </w:rPr>
      </w:pPr>
      <w:r>
        <w:rPr>
          <w:rFonts w:hint="eastAsia" w:ascii="等线" w:hAnsi="等线" w:eastAsia="等线" w:cs="等线"/>
        </w:rPr>
        <w:t>报名确认，学院将依据缴款凭证上的日期先后排列录取顺序。</w:t>
      </w:r>
    </w:p>
    <w:p w14:paraId="3A513FE4">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报名资料</w:t>
      </w:r>
    </w:p>
    <w:p w14:paraId="556B2F59">
      <w:pPr>
        <w:rPr>
          <w:rFonts w:ascii="等线" w:hAnsi="等线" w:eastAsia="等线" w:cs="等线"/>
        </w:rPr>
      </w:pPr>
      <w:r>
        <w:rPr>
          <w:rFonts w:ascii="等线" w:hAnsi="等线" w:eastAsia="等线" w:cs="等线"/>
        </w:rPr>
        <w:pict>
          <v:shape id="_x0000_s1036" o:spid="_x0000_s1036" o:spt="32" type="#_x0000_t32" style="position:absolute;left:0pt;margin-left:-1.8pt;margin-top:6.5pt;height:0pt;width:410.25pt;z-index:251666432;mso-width-relative:page;mso-height-relative:page;" filled="f" stroked="t" coordsize="21600,21600">
            <v:path arrowok="t"/>
            <v:fill on="f" focussize="0,0"/>
            <v:stroke weight="1pt" color="#1F497D"/>
            <v:imagedata o:title=""/>
            <o:lock v:ext="edit"/>
          </v:shape>
        </w:pict>
      </w:r>
    </w:p>
    <w:p w14:paraId="4D69D491">
      <w:pPr>
        <w:pStyle w:val="17"/>
        <w:numPr>
          <w:ilvl w:val="0"/>
          <w:numId w:val="6"/>
        </w:numPr>
        <w:ind w:firstLineChars="0"/>
        <w:rPr>
          <w:rFonts w:ascii="等线" w:hAnsi="等线" w:eastAsia="等线" w:cs="等线"/>
        </w:rPr>
      </w:pPr>
      <w:r>
        <w:rPr>
          <w:rFonts w:hint="eastAsia" w:ascii="等线" w:hAnsi="等线" w:eastAsia="等线" w:cs="等线"/>
        </w:rPr>
        <w:t>本人最后学历和学位证书扫描件、身份证正反面扫描件；</w:t>
      </w:r>
    </w:p>
    <w:p w14:paraId="043E6031">
      <w:pPr>
        <w:pStyle w:val="17"/>
        <w:numPr>
          <w:ilvl w:val="0"/>
          <w:numId w:val="6"/>
        </w:numPr>
        <w:ind w:firstLineChars="0"/>
        <w:rPr>
          <w:rFonts w:ascii="等线" w:hAnsi="等线" w:eastAsia="等线" w:cs="等线"/>
        </w:rPr>
      </w:pPr>
      <w:r>
        <w:rPr>
          <w:rFonts w:hint="eastAsia" w:ascii="等线" w:hAnsi="等线" w:eastAsia="等线" w:cs="等线"/>
        </w:rPr>
        <w:t>学位查询结果报告或学位认证报告电子版（在学信网：https://www.chsi.com.cn/上查询办理）；</w:t>
      </w:r>
    </w:p>
    <w:p w14:paraId="09997E8F">
      <w:pPr>
        <w:pStyle w:val="17"/>
        <w:numPr>
          <w:ilvl w:val="0"/>
          <w:numId w:val="6"/>
        </w:numPr>
        <w:ind w:firstLineChars="0"/>
        <w:rPr>
          <w:rFonts w:ascii="等线" w:hAnsi="等线" w:eastAsia="等线" w:cs="等线"/>
        </w:rPr>
      </w:pPr>
      <w:r>
        <w:rPr>
          <w:rFonts w:hint="eastAsia" w:ascii="等线" w:hAnsi="等线" w:eastAsia="等线" w:cs="等线"/>
        </w:rPr>
        <w:t>填写《二〇二六年上海财经大学在职课程培训班学员登记表》；</w:t>
      </w:r>
    </w:p>
    <w:p w14:paraId="522C7E19">
      <w:pPr>
        <w:pStyle w:val="17"/>
        <w:numPr>
          <w:ilvl w:val="0"/>
          <w:numId w:val="6"/>
        </w:numPr>
        <w:ind w:firstLineChars="0"/>
        <w:rPr>
          <w:rFonts w:ascii="等线" w:hAnsi="等线" w:eastAsia="等线" w:cs="等线"/>
        </w:rPr>
      </w:pPr>
      <w:r>
        <w:rPr>
          <w:rFonts w:hint="eastAsia" w:ascii="等线" w:hAnsi="等线" w:eastAsia="等线" w:cs="等线"/>
        </w:rPr>
        <w:t>证件照一寸蓝底3张。</w:t>
      </w:r>
    </w:p>
    <w:p w14:paraId="53D3AD8F">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报名流程</w:t>
      </w:r>
    </w:p>
    <w:p w14:paraId="30D0904B">
      <w:pPr>
        <w:rPr>
          <w:rFonts w:ascii="等线" w:hAnsi="等线" w:eastAsia="等线" w:cs="等线"/>
          <w:b/>
          <w:color w:val="C00000"/>
        </w:rPr>
      </w:pPr>
      <w:r>
        <w:rPr>
          <w:rFonts w:ascii="等线" w:hAnsi="等线" w:eastAsia="等线" w:cs="等线"/>
          <w:b/>
          <w:color w:val="C00000"/>
        </w:rPr>
        <w:pict>
          <v:shape id="_x0000_s1037" o:spid="_x0000_s1037" o:spt="32" type="#_x0000_t32" style="position:absolute;left:0pt;margin-left:2.65pt;margin-top:6.85pt;height:0pt;width:410.25pt;z-index:251667456;mso-width-relative:page;mso-height-relative:page;" filled="f" stroked="t" coordsize="21600,21600">
            <v:path arrowok="t"/>
            <v:fill on="f" focussize="0,0"/>
            <v:stroke weight="1pt" color="#1F497D"/>
            <v:imagedata o:title=""/>
            <o:lock v:ext="edit"/>
          </v:shape>
        </w:pict>
      </w:r>
    </w:p>
    <w:p w14:paraId="49073D5E">
      <w:pPr>
        <w:pStyle w:val="17"/>
        <w:numPr>
          <w:ilvl w:val="0"/>
          <w:numId w:val="7"/>
        </w:numPr>
        <w:ind w:firstLineChars="0"/>
        <w:rPr>
          <w:rFonts w:ascii="等线" w:hAnsi="等线" w:eastAsia="等线" w:cs="等线"/>
        </w:rPr>
      </w:pPr>
      <w:r>
        <w:rPr>
          <w:rFonts w:hint="eastAsia" w:ascii="等线" w:hAnsi="等线" w:eastAsia="等线" w:cs="等线"/>
        </w:rPr>
        <w:t>线上或线下咨询。</w:t>
      </w:r>
    </w:p>
    <w:p w14:paraId="421E0F43">
      <w:pPr>
        <w:pStyle w:val="17"/>
        <w:numPr>
          <w:ilvl w:val="0"/>
          <w:numId w:val="7"/>
        </w:numPr>
        <w:ind w:firstLineChars="0"/>
        <w:rPr>
          <w:rFonts w:ascii="等线" w:hAnsi="等线" w:eastAsia="等线" w:cs="等线"/>
        </w:rPr>
      </w:pPr>
      <w:r>
        <w:rPr>
          <w:rFonts w:ascii="等线" w:hAnsi="等线" w:eastAsia="等线" w:cs="等线"/>
        </w:rPr>
        <w:pict>
          <v:shape id="_x0000_s1046" o:spid="_x0000_s1046" o:spt="202" type="#_x0000_t202" style="position:absolute;left:0pt;margin-left:302.8pt;margin-top:4.7pt;height:144.5pt;width:112.35pt;z-index:251671552;mso-width-relative:margin;mso-height-relative:margin;" coordsize="21600,21600">
            <v:path/>
            <v:fill focussize="0,0"/>
            <v:stroke joinstyle="miter"/>
            <v:imagedata o:title=""/>
            <o:lock v:ext="edit"/>
            <v:textbox>
              <w:txbxContent>
                <w:p w14:paraId="39CDA978">
                  <w:pPr>
                    <w:jc w:val="center"/>
                  </w:pPr>
                  <w:r>
                    <w:rPr>
                      <w:rFonts w:hint="eastAsia"/>
                    </w:rPr>
                    <w:drawing>
                      <wp:inline distT="0" distB="0" distL="114300" distR="114300">
                        <wp:extent cx="1228725" cy="1228725"/>
                        <wp:effectExtent l="0" t="0" r="9525" b="9525"/>
                        <wp:docPr id="2" name="图片 2" descr="640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 (7)"/>
                                <pic:cNvPicPr>
                                  <a:picLocks noChangeAspect="1"/>
                                </pic:cNvPicPr>
                              </pic:nvPicPr>
                              <pic:blipFill>
                                <a:blip r:embed="rId6"/>
                                <a:stretch>
                                  <a:fillRect/>
                                </a:stretch>
                              </pic:blipFill>
                              <pic:spPr>
                                <a:xfrm>
                                  <a:off x="0" y="0"/>
                                  <a:ext cx="1228725" cy="1228725"/>
                                </a:xfrm>
                                <a:prstGeom prst="rect">
                                  <a:avLst/>
                                </a:prstGeom>
                              </pic:spPr>
                            </pic:pic>
                          </a:graphicData>
                        </a:graphic>
                      </wp:inline>
                    </w:drawing>
                  </w:r>
                </w:p>
                <w:p w14:paraId="632E4C3D">
                  <w:pPr>
                    <w:jc w:val="center"/>
                  </w:pPr>
                  <w:r>
                    <w:rPr>
                      <w:rFonts w:hint="eastAsia"/>
                    </w:rPr>
                    <w:t>报名登记</w:t>
                  </w:r>
                </w:p>
              </w:txbxContent>
            </v:textbox>
          </v:shape>
        </w:pict>
      </w:r>
      <w:r>
        <w:rPr>
          <w:rFonts w:hint="eastAsia" w:ascii="等线" w:hAnsi="等线" w:eastAsia="等线" w:cs="等线"/>
        </w:rPr>
        <w:t>线上或线下提交报名材料。</w:t>
      </w:r>
    </w:p>
    <w:p w14:paraId="45C4BFD2">
      <w:pPr>
        <w:pStyle w:val="17"/>
        <w:numPr>
          <w:ilvl w:val="0"/>
          <w:numId w:val="7"/>
        </w:numPr>
        <w:ind w:firstLineChars="0"/>
        <w:rPr>
          <w:rFonts w:ascii="等线" w:hAnsi="等线" w:eastAsia="等线" w:cs="等线"/>
        </w:rPr>
      </w:pPr>
      <w:r>
        <w:rPr>
          <w:rFonts w:hint="eastAsia" w:ascii="等线" w:hAnsi="等线" w:eastAsia="等线" w:cs="等线"/>
        </w:rPr>
        <w:t>开学前缴清</w:t>
      </w:r>
      <w:r>
        <w:rPr>
          <w:rFonts w:hint="eastAsia" w:ascii="等线" w:hAnsi="等线" w:eastAsia="等线" w:cs="等线"/>
          <w:lang w:val="en-US" w:eastAsia="zh-CN"/>
        </w:rPr>
        <w:t>培训</w:t>
      </w:r>
      <w:r>
        <w:rPr>
          <w:rFonts w:hint="eastAsia" w:ascii="等线" w:hAnsi="等线" w:eastAsia="等线" w:cs="等线"/>
        </w:rPr>
        <w:t>费。</w:t>
      </w:r>
    </w:p>
    <w:p w14:paraId="0E95794C">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报名咨询</w:t>
      </w:r>
    </w:p>
    <w:p w14:paraId="287C84CF">
      <w:pPr>
        <w:rPr>
          <w:rFonts w:ascii="等线" w:hAnsi="等线" w:eastAsia="等线" w:cs="等线"/>
        </w:rPr>
      </w:pPr>
      <w:r>
        <w:rPr>
          <w:rFonts w:ascii="等线" w:hAnsi="等线" w:eastAsia="等线" w:cs="等线"/>
        </w:rPr>
        <w:pict>
          <v:shape id="_x0000_s1045" o:spid="_x0000_s1045" o:spt="32" type="#_x0000_t32" style="position:absolute;left:0pt;margin-left:0.35pt;margin-top:8.45pt;height:0pt;width:257.95pt;z-index:251670528;mso-width-relative:page;mso-height-relative:page;" filled="f" stroked="t" coordsize="21600,21600">
            <v:path arrowok="t"/>
            <v:fill on="f" focussize="0,0"/>
            <v:stroke weight="1pt" color="#1F497D"/>
            <v:imagedata o:title=""/>
            <o:lock v:ext="edit"/>
          </v:shape>
        </w:pict>
      </w:r>
    </w:p>
    <w:p w14:paraId="2E3D425C">
      <w:pPr>
        <w:spacing w:line="360" w:lineRule="auto"/>
        <w:rPr>
          <w:rFonts w:ascii="等线" w:hAnsi="等线" w:eastAsia="等线" w:cs="等线"/>
          <w:b/>
          <w:bCs/>
          <w:sz w:val="30"/>
          <w:szCs w:val="30"/>
        </w:rPr>
      </w:pPr>
      <w:r>
        <w:rPr>
          <w:rFonts w:hint="eastAsia" w:ascii="等线" w:hAnsi="等线" w:eastAsia="等线" w:cs="等线"/>
          <w:b/>
          <w:bCs/>
          <w:sz w:val="30"/>
          <w:szCs w:val="30"/>
        </w:rPr>
        <w:t>021-65163912</w:t>
      </w:r>
    </w:p>
    <w:p w14:paraId="3F80BE1A">
      <w:pPr>
        <w:rPr>
          <w:rFonts w:ascii="等线" w:hAnsi="等线" w:eastAsia="等线" w:cs="等线"/>
        </w:rPr>
      </w:pPr>
      <w:bookmarkStart w:id="0" w:name="_GoBack"/>
      <w:r>
        <w:rPr>
          <w:rFonts w:hint="eastAsia" w:ascii="等线" w:hAnsi="等线" w:eastAsia="等线" w:cs="等线"/>
        </w:rPr>
        <w:t>武东路100号上海财经大学同新楼</w:t>
      </w:r>
      <w:r>
        <w:rPr>
          <w:rFonts w:hint="eastAsia" w:ascii="等线" w:hAnsi="等线" w:eastAsia="等线" w:cs="等线"/>
          <w:lang w:val="en-US" w:eastAsia="zh-CN"/>
        </w:rPr>
        <w:t>1</w:t>
      </w:r>
      <w:r>
        <w:rPr>
          <w:rFonts w:hint="eastAsia" w:ascii="等线" w:hAnsi="等线" w:eastAsia="等线" w:cs="等线"/>
        </w:rPr>
        <w:t>2</w:t>
      </w:r>
      <w:r>
        <w:rPr>
          <w:rFonts w:hint="eastAsia" w:ascii="等线" w:hAnsi="等线" w:eastAsia="等线" w:cs="等线"/>
          <w:lang w:val="en-US" w:eastAsia="zh-CN"/>
        </w:rPr>
        <w:t>0</w:t>
      </w:r>
      <w:r>
        <w:rPr>
          <w:rFonts w:hint="eastAsia" w:ascii="等线" w:hAnsi="等线" w:eastAsia="等线" w:cs="等线"/>
        </w:rPr>
        <w:t>室</w:t>
      </w: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DE8E">
    <w:pPr>
      <w:pStyle w:val="5"/>
      <w:pBdr>
        <w:bottom w:val="none" w:color="auto" w:sz="0" w:space="1"/>
      </w:pBdr>
      <w:jc w:val="both"/>
    </w:pPr>
    <w:r>
      <w:pict>
        <v:line id="_x0000_s2051" o:spid="_x0000_s2051" o:spt="20" style="position:absolute;left:0pt;margin-left:106pt;margin-top:12.65pt;height:1.95pt;width:307.6pt;z-index:251659264;mso-width-relative:page;mso-height-relative:page;" fillcolor="#7D1D1F" filled="t" stroked="t" coordsize="21600,21600">
          <v:path arrowok="t"/>
          <v:fill on="t" focussize="0,0"/>
          <v:stroke weight="1.25pt" color="#7D1D1F"/>
          <v:imagedata o:title=""/>
          <o:lock v:ext="edit"/>
        </v:line>
      </w:pict>
    </w:r>
    <w:r>
      <w:drawing>
        <wp:inline distT="0" distB="0" distL="114300" distR="114300">
          <wp:extent cx="1268730" cy="308610"/>
          <wp:effectExtent l="0" t="0" r="762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268730" cy="308610"/>
                  </a:xfrm>
                  <a:prstGeom prst="rect">
                    <a:avLst/>
                  </a:prstGeom>
                  <a:noFill/>
                  <a:ln>
                    <a:noFill/>
                  </a:ln>
                </pic:spPr>
              </pic:pic>
            </a:graphicData>
          </a:graphic>
        </wp:inline>
      </w:drawing>
    </w:r>
    <w:r>
      <w:rPr>
        <w:rFonts w:hint="eastAsia"/>
      </w:rPr>
      <w:t xml:space="preserve">                          </w:t>
    </w:r>
  </w:p>
  <w:p w14:paraId="63ECC8A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42172"/>
    <w:multiLevelType w:val="multilevel"/>
    <w:tmpl w:val="192421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0D005C"/>
    <w:multiLevelType w:val="multilevel"/>
    <w:tmpl w:val="1B0D005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1C0418"/>
    <w:multiLevelType w:val="multilevel"/>
    <w:tmpl w:val="201C04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565540"/>
    <w:multiLevelType w:val="multilevel"/>
    <w:tmpl w:val="2356554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783D87"/>
    <w:multiLevelType w:val="multilevel"/>
    <w:tmpl w:val="37783D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CD7DEE"/>
    <w:multiLevelType w:val="multilevel"/>
    <w:tmpl w:val="6ECD7D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EF1412B"/>
    <w:multiLevelType w:val="multilevel"/>
    <w:tmpl w:val="7EF1412B"/>
    <w:lvl w:ilvl="0" w:tentative="0">
      <w:start w:val="1"/>
      <w:numFmt w:val="decimal"/>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IxY2U2YmE5OGE4YzFiYmY5YTE2ZDA3OWMwZDhhNTQifQ=="/>
  </w:docVars>
  <w:rsids>
    <w:rsidRoot w:val="0023284A"/>
    <w:rsid w:val="0002000C"/>
    <w:rsid w:val="00023150"/>
    <w:rsid w:val="00026430"/>
    <w:rsid w:val="00031B8B"/>
    <w:rsid w:val="00041E41"/>
    <w:rsid w:val="00052B44"/>
    <w:rsid w:val="000B6624"/>
    <w:rsid w:val="000C20B3"/>
    <w:rsid w:val="000E451B"/>
    <w:rsid w:val="000F06C6"/>
    <w:rsid w:val="00146950"/>
    <w:rsid w:val="001472DE"/>
    <w:rsid w:val="0014740B"/>
    <w:rsid w:val="00147BE5"/>
    <w:rsid w:val="00162173"/>
    <w:rsid w:val="00174BFC"/>
    <w:rsid w:val="0017675A"/>
    <w:rsid w:val="0018082E"/>
    <w:rsid w:val="00197E9E"/>
    <w:rsid w:val="001C51EB"/>
    <w:rsid w:val="001E01AA"/>
    <w:rsid w:val="001E69AA"/>
    <w:rsid w:val="002210E1"/>
    <w:rsid w:val="0023284A"/>
    <w:rsid w:val="0028652A"/>
    <w:rsid w:val="002E5D34"/>
    <w:rsid w:val="002E6C81"/>
    <w:rsid w:val="00307EBA"/>
    <w:rsid w:val="00351B85"/>
    <w:rsid w:val="00353EF3"/>
    <w:rsid w:val="003E1D54"/>
    <w:rsid w:val="003F28FF"/>
    <w:rsid w:val="003F5D6C"/>
    <w:rsid w:val="00401FC6"/>
    <w:rsid w:val="00405A5E"/>
    <w:rsid w:val="004162EF"/>
    <w:rsid w:val="004336BE"/>
    <w:rsid w:val="00447347"/>
    <w:rsid w:val="004C50DD"/>
    <w:rsid w:val="004D170C"/>
    <w:rsid w:val="004E03C3"/>
    <w:rsid w:val="004F1C36"/>
    <w:rsid w:val="004F64EB"/>
    <w:rsid w:val="00502BED"/>
    <w:rsid w:val="00543D66"/>
    <w:rsid w:val="0056603A"/>
    <w:rsid w:val="00567419"/>
    <w:rsid w:val="00594431"/>
    <w:rsid w:val="005977C6"/>
    <w:rsid w:val="005A41D5"/>
    <w:rsid w:val="005A734A"/>
    <w:rsid w:val="005B6703"/>
    <w:rsid w:val="005C198A"/>
    <w:rsid w:val="005D1C3E"/>
    <w:rsid w:val="005F1657"/>
    <w:rsid w:val="00626B5B"/>
    <w:rsid w:val="0064265B"/>
    <w:rsid w:val="00655062"/>
    <w:rsid w:val="006A20A3"/>
    <w:rsid w:val="006B6590"/>
    <w:rsid w:val="00705BC9"/>
    <w:rsid w:val="007221AF"/>
    <w:rsid w:val="007229CD"/>
    <w:rsid w:val="007900A9"/>
    <w:rsid w:val="007B37DE"/>
    <w:rsid w:val="007C58AD"/>
    <w:rsid w:val="007D4CEA"/>
    <w:rsid w:val="007F3C6D"/>
    <w:rsid w:val="00802691"/>
    <w:rsid w:val="00812270"/>
    <w:rsid w:val="00820D9E"/>
    <w:rsid w:val="00821447"/>
    <w:rsid w:val="00830592"/>
    <w:rsid w:val="008306B0"/>
    <w:rsid w:val="00850E1D"/>
    <w:rsid w:val="008517D6"/>
    <w:rsid w:val="0085432B"/>
    <w:rsid w:val="008752A0"/>
    <w:rsid w:val="00884C93"/>
    <w:rsid w:val="008A4D90"/>
    <w:rsid w:val="008B3FD4"/>
    <w:rsid w:val="008D22D5"/>
    <w:rsid w:val="008D3564"/>
    <w:rsid w:val="00922EE2"/>
    <w:rsid w:val="00926346"/>
    <w:rsid w:val="009C767C"/>
    <w:rsid w:val="00A07133"/>
    <w:rsid w:val="00A234F6"/>
    <w:rsid w:val="00A2410D"/>
    <w:rsid w:val="00A2534E"/>
    <w:rsid w:val="00A31D2E"/>
    <w:rsid w:val="00A3628C"/>
    <w:rsid w:val="00A56567"/>
    <w:rsid w:val="00AA4828"/>
    <w:rsid w:val="00AC2333"/>
    <w:rsid w:val="00AC4203"/>
    <w:rsid w:val="00B053FE"/>
    <w:rsid w:val="00B57FD5"/>
    <w:rsid w:val="00B74873"/>
    <w:rsid w:val="00BA2BC6"/>
    <w:rsid w:val="00BA7635"/>
    <w:rsid w:val="00C00364"/>
    <w:rsid w:val="00C04D81"/>
    <w:rsid w:val="00C17045"/>
    <w:rsid w:val="00C26A66"/>
    <w:rsid w:val="00C9614E"/>
    <w:rsid w:val="00CF1BCF"/>
    <w:rsid w:val="00D564BB"/>
    <w:rsid w:val="00D6559B"/>
    <w:rsid w:val="00D8103E"/>
    <w:rsid w:val="00D935CD"/>
    <w:rsid w:val="00DB1D83"/>
    <w:rsid w:val="00DB6A93"/>
    <w:rsid w:val="00DE05A0"/>
    <w:rsid w:val="00DE3000"/>
    <w:rsid w:val="00DE46DB"/>
    <w:rsid w:val="00E3243E"/>
    <w:rsid w:val="00E427D7"/>
    <w:rsid w:val="00E50427"/>
    <w:rsid w:val="00E560D6"/>
    <w:rsid w:val="00E863DF"/>
    <w:rsid w:val="00EC2DF2"/>
    <w:rsid w:val="00ED3D26"/>
    <w:rsid w:val="00EF3460"/>
    <w:rsid w:val="00F13969"/>
    <w:rsid w:val="00F1795B"/>
    <w:rsid w:val="00F374CF"/>
    <w:rsid w:val="00F42DEA"/>
    <w:rsid w:val="00F632E4"/>
    <w:rsid w:val="00F936AC"/>
    <w:rsid w:val="00FB2A76"/>
    <w:rsid w:val="00FC1098"/>
    <w:rsid w:val="00FD50F7"/>
    <w:rsid w:val="00FD68AB"/>
    <w:rsid w:val="00FD70DB"/>
    <w:rsid w:val="0208545F"/>
    <w:rsid w:val="03493E77"/>
    <w:rsid w:val="035F3C06"/>
    <w:rsid w:val="0D546775"/>
    <w:rsid w:val="101848B3"/>
    <w:rsid w:val="12D15BC6"/>
    <w:rsid w:val="14444D66"/>
    <w:rsid w:val="18125775"/>
    <w:rsid w:val="19C14414"/>
    <w:rsid w:val="1B6571D2"/>
    <w:rsid w:val="1B871DF7"/>
    <w:rsid w:val="1CA92C52"/>
    <w:rsid w:val="208D7B4C"/>
    <w:rsid w:val="210A6036"/>
    <w:rsid w:val="219A1DB4"/>
    <w:rsid w:val="23552C79"/>
    <w:rsid w:val="245C027E"/>
    <w:rsid w:val="28DB6A5D"/>
    <w:rsid w:val="32465C2A"/>
    <w:rsid w:val="33455111"/>
    <w:rsid w:val="39754190"/>
    <w:rsid w:val="3FB41B4D"/>
    <w:rsid w:val="3FE36346"/>
    <w:rsid w:val="41A84112"/>
    <w:rsid w:val="492641F8"/>
    <w:rsid w:val="4CE40CB1"/>
    <w:rsid w:val="4DB239FB"/>
    <w:rsid w:val="551D39FE"/>
    <w:rsid w:val="5D7D7BA3"/>
    <w:rsid w:val="604C506D"/>
    <w:rsid w:val="617A13D7"/>
    <w:rsid w:val="6DEA1D4F"/>
    <w:rsid w:val="78F97523"/>
    <w:rsid w:val="7BD6320F"/>
    <w:rsid w:val="7BD65F29"/>
    <w:rsid w:val="7C0E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 id="V:Rule3" type="connector" idref="#_x0000_s1030"/>
        <o:r id="V:Rule4" type="connector" idref="#_x0000_s1032"/>
        <o:r id="V:Rule5" type="connector" idref="#_x0000_s1033"/>
        <o:r id="V:Rule6" type="connector" idref="#_x0000_s1035"/>
        <o:r id="V:Rule7" type="connector" idref="#_x0000_s1036"/>
        <o:r id="V:Rule8" type="connector" idref="#_x0000_s1037"/>
        <o:r id="V:Rule9" type="connector" idref="#_x0000_s1040"/>
        <o:r id="V:Rule10" type="connector" idref="#_x0000_s1042"/>
        <o:r id="V:Rule11" type="connector" idref="#_x0000_s10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autoRedefine/>
    <w:semiHidden/>
    <w:unhideWhenUsed/>
    <w:qFormat/>
    <w:uiPriority w:val="99"/>
    <w:pPr>
      <w:ind w:left="100" w:leftChars="2500"/>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bCs/>
    </w:rPr>
  </w:style>
  <w:style w:type="character" w:styleId="11">
    <w:name w:val="Hyperlink"/>
    <w:basedOn w:val="9"/>
    <w:autoRedefine/>
    <w:unhideWhenUsed/>
    <w:qFormat/>
    <w:uiPriority w:val="99"/>
    <w:rPr>
      <w:color w:val="0000FF" w:themeColor="hyperlink"/>
      <w:u w:val="single"/>
    </w:rPr>
  </w:style>
  <w:style w:type="character" w:customStyle="1" w:styleId="12">
    <w:name w:val="toolbarlabel"/>
    <w:basedOn w:val="9"/>
    <w:autoRedefine/>
    <w:qFormat/>
    <w:uiPriority w:val="0"/>
  </w:style>
  <w:style w:type="character" w:customStyle="1" w:styleId="13">
    <w:name w:val="dropdowntoolbarbutton"/>
    <w:basedOn w:val="9"/>
    <w:autoRedefine/>
    <w:qFormat/>
    <w:uiPriority w:val="0"/>
  </w:style>
  <w:style w:type="character" w:customStyle="1" w:styleId="14">
    <w:name w:val="批注框文本 字符"/>
    <w:basedOn w:val="9"/>
    <w:link w:val="3"/>
    <w:autoRedefine/>
    <w:semiHidden/>
    <w:qFormat/>
    <w:uiPriority w:val="99"/>
    <w:rPr>
      <w:sz w:val="18"/>
      <w:szCs w:val="18"/>
    </w:rPr>
  </w:style>
  <w:style w:type="character" w:customStyle="1" w:styleId="15">
    <w:name w:val="页眉 字符"/>
    <w:basedOn w:val="9"/>
    <w:link w:val="5"/>
    <w:autoRedefine/>
    <w:qFormat/>
    <w:uiPriority w:val="99"/>
    <w:rPr>
      <w:sz w:val="18"/>
      <w:szCs w:val="18"/>
    </w:rPr>
  </w:style>
  <w:style w:type="character" w:customStyle="1" w:styleId="16">
    <w:name w:val="页脚 字符"/>
    <w:basedOn w:val="9"/>
    <w:link w:val="4"/>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日期 字符"/>
    <w:basedOn w:val="9"/>
    <w:link w:val="2"/>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8"/>
    <customShpInfo spid="_x0000_s1029"/>
    <customShpInfo spid="_x0000_s1030"/>
    <customShpInfo spid="_x0000_s1040"/>
    <customShpInfo spid="_x0000_s1032"/>
    <customShpInfo spid="_x0000_s1033"/>
    <customShpInfo spid="_x0000_s1042"/>
    <customShpInfo spid="_x0000_s1035"/>
    <customShpInfo spid="_x0000_s1036"/>
    <customShpInfo spid="_x0000_s1037"/>
    <customShpInfo spid="_x0000_s1046"/>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2111</Words>
  <Characters>2174</Characters>
  <Lines>17</Lines>
  <Paragraphs>4</Paragraphs>
  <TotalTime>0</TotalTime>
  <ScaleCrop>false</ScaleCrop>
  <LinksUpToDate>false</LinksUpToDate>
  <CharactersWithSpaces>2184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2023-02-17T01:01:00Z</dcterms:created>
  <dc:creator>Administrator</dc:creator>
  <cp:lastModifiedBy>田园</cp:lastModifiedBy>
  <dcterms:modified xsi:type="dcterms:W3CDTF">2025-12-17T06:02:35Z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31A51F9F1D3E410DB204D2077B031E33</vt:lpwstr>
  </property>
  <property fmtid="{D5CDD505-2E9C-101B-9397-08002B2CF9AE}" pid="4" name="KSOTemplateDocerSaveRecord">
    <vt:lpwstr>eyJoZGlkIjoiMWQyOTc0NjU2NjIyMGRjNzE1ZTk2ZmFkNmFjNzQ0MTMiLCJ1c2VySWQiOiIzMzA5MDc2NTMifQ==</vt:lpwstr>
  </property>
</Properties>
</file>