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EB3DA">
      <w:pPr>
        <w:jc w:val="center"/>
        <w:rPr>
          <w:rFonts w:ascii="等线" w:hAnsi="等线" w:eastAsia="等线" w:cs="等线"/>
          <w:color w:val="C00000"/>
          <w:sz w:val="28"/>
          <w:szCs w:val="28"/>
        </w:rPr>
      </w:pPr>
      <w:r>
        <w:drawing>
          <wp:inline distT="0" distB="0" distL="114300" distR="114300">
            <wp:extent cx="5201920" cy="1478915"/>
            <wp:effectExtent l="0" t="0" r="17780" b="6985"/>
            <wp:docPr id="5122" name="图片 4097" descr="/Users/jingslee/Desktop/上财四季/春/20200324 春花 2m/_Q4B4464.jpg_Q4B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图片 4097" descr="/Users/jingslee/Desktop/上财四季/春/20200324 春花 2m/_Q4B4464.jpg_Q4B4464"/>
                    <pic:cNvPicPr>
                      <a:picLocks noChangeAspect="1" noChangeArrowheads="1"/>
                    </pic:cNvPicPr>
                  </pic:nvPicPr>
                  <pic:blipFill>
                    <a:blip r:embed="rId5"/>
                    <a:srcRect l="-5" t="32197" r="5" b="25155"/>
                    <a:stretch>
                      <a:fillRect/>
                    </a:stretch>
                  </pic:blipFill>
                  <pic:spPr>
                    <a:xfrm>
                      <a:off x="0" y="0"/>
                      <a:ext cx="5201920" cy="1478915"/>
                    </a:xfrm>
                    <a:prstGeom prst="rect">
                      <a:avLst/>
                    </a:prstGeom>
                    <a:noFill/>
                    <a:ln>
                      <a:noFill/>
                    </a:ln>
                  </pic:spPr>
                </pic:pic>
              </a:graphicData>
            </a:graphic>
          </wp:inline>
        </w:drawing>
      </w:r>
    </w:p>
    <w:p w14:paraId="6018DD96">
      <w:pPr>
        <w:jc w:val="center"/>
        <w:rPr>
          <w:rFonts w:ascii="等线" w:hAnsi="等线" w:eastAsia="等线" w:cs="等线"/>
          <w:b/>
          <w:color w:val="1F497D" w:themeColor="text2"/>
          <w:sz w:val="28"/>
          <w:szCs w:val="28"/>
        </w:rPr>
      </w:pPr>
      <w:r>
        <w:rPr>
          <w:rFonts w:hint="eastAsia" w:ascii="等线" w:hAnsi="等线" w:eastAsia="等线" w:cs="等线"/>
          <w:b/>
          <w:color w:val="1F497D" w:themeColor="text2"/>
          <w:sz w:val="28"/>
          <w:szCs w:val="28"/>
        </w:rPr>
        <w:t>202</w:t>
      </w:r>
      <w:r>
        <w:rPr>
          <w:rFonts w:hint="eastAsia" w:ascii="等线" w:hAnsi="等线" w:eastAsia="等线" w:cs="等线"/>
          <w:b/>
          <w:color w:val="1F497D" w:themeColor="text2"/>
          <w:sz w:val="28"/>
          <w:szCs w:val="28"/>
          <w:lang w:val="en-US" w:eastAsia="zh-CN"/>
        </w:rPr>
        <w:t>6</w:t>
      </w:r>
      <w:r>
        <w:rPr>
          <w:rFonts w:hint="eastAsia" w:ascii="等线" w:hAnsi="等线" w:eastAsia="等线" w:cs="等线"/>
          <w:b/>
          <w:color w:val="1F497D" w:themeColor="text2"/>
          <w:sz w:val="28"/>
          <w:szCs w:val="28"/>
        </w:rPr>
        <w:t>年上海财经大学 | 金融学院 |</w:t>
      </w:r>
    </w:p>
    <w:p w14:paraId="2D250947">
      <w:pPr>
        <w:jc w:val="center"/>
        <w:rPr>
          <w:rFonts w:ascii="等线" w:hAnsi="等线" w:eastAsia="等线" w:cs="等线"/>
          <w:b/>
          <w:color w:val="1F497D" w:themeColor="text2"/>
          <w:sz w:val="28"/>
          <w:szCs w:val="28"/>
        </w:rPr>
      </w:pPr>
      <w:r>
        <w:rPr>
          <w:rFonts w:hint="eastAsia" w:ascii="等线" w:hAnsi="等线" w:eastAsia="等线" w:cs="等线"/>
          <w:b/>
          <w:color w:val="1F497D" w:themeColor="text2"/>
          <w:sz w:val="28"/>
          <w:szCs w:val="28"/>
        </w:rPr>
        <w:t>金融学专业</w:t>
      </w:r>
    </w:p>
    <w:p w14:paraId="2A86D39A">
      <w:pPr>
        <w:jc w:val="center"/>
        <w:rPr>
          <w:rFonts w:ascii="等线" w:hAnsi="等线" w:eastAsia="等线" w:cs="等线"/>
          <w:b/>
          <w:color w:val="585858" w:themeColor="text1" w:themeTint="A6"/>
          <w:sz w:val="28"/>
          <w:szCs w:val="28"/>
        </w:rPr>
      </w:pPr>
      <w:r>
        <w:rPr>
          <w:rFonts w:hint="eastAsia" w:ascii="等线" w:hAnsi="等线" w:eastAsia="等线" w:cs="等线"/>
          <w:b/>
          <w:color w:val="585858" w:themeColor="text1" w:themeTint="A6"/>
          <w:sz w:val="28"/>
          <w:szCs w:val="28"/>
        </w:rPr>
        <w:t xml:space="preserve">在职课程培训班招生简章 </w:t>
      </w:r>
    </w:p>
    <w:p w14:paraId="4575658C">
      <w:pPr>
        <w:jc w:val="center"/>
        <w:rPr>
          <w:rFonts w:ascii="等线" w:hAnsi="等线" w:eastAsia="等线" w:cs="等线"/>
          <w:b/>
          <w:color w:val="585858" w:themeColor="text1" w:themeTint="A6"/>
          <w:szCs w:val="21"/>
        </w:rPr>
      </w:pPr>
      <w:r>
        <w:rPr>
          <w:rFonts w:hint="eastAsia" w:ascii="等线" w:hAnsi="等线" w:eastAsia="等线" w:cs="等线"/>
          <w:b/>
          <w:color w:val="585858" w:themeColor="text1" w:themeTint="A6"/>
          <w:szCs w:val="21"/>
        </w:rPr>
        <w:t>（免试录取 可选面授班/线上班 全国招生）</w:t>
      </w:r>
    </w:p>
    <w:p w14:paraId="4C8AD163">
      <w:pPr>
        <w:widowControl/>
        <w:shd w:val="clear" w:color="auto" w:fill="FFFFFF"/>
        <w:spacing w:after="150"/>
        <w:jc w:val="center"/>
        <w:rPr>
          <w:rFonts w:ascii="等线" w:hAnsi="等线" w:eastAsia="等线" w:cs="等线"/>
          <w:color w:val="C00000"/>
          <w:kern w:val="0"/>
          <w:szCs w:val="21"/>
        </w:rPr>
      </w:pPr>
    </w:p>
    <w:p w14:paraId="7DB6ED0F">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办班性质</w:t>
      </w:r>
    </w:p>
    <w:p w14:paraId="4B989D16">
      <w:pPr>
        <w:rPr>
          <w:rFonts w:ascii="等线" w:hAnsi="等线" w:eastAsia="等线" w:cs="等线"/>
        </w:rPr>
      </w:pPr>
      <w:r>
        <w:rPr>
          <w:rFonts w:ascii="等线" w:hAnsi="等线" w:eastAsia="等线" w:cs="等线"/>
        </w:rPr>
        <w:pict>
          <v:shape id="_x0000_s1028" o:spid="_x0000_s1028" o:spt="32" type="#_x0000_t32" style="position:absolute;left:0pt;margin-left:0.4pt;margin-top:7.35pt;height:0pt;width:410.25pt;z-index:251664384;mso-width-relative:page;mso-height-relative:page;" filled="f" stroked="t" coordsize="21600,21600">
            <v:path arrowok="t"/>
            <v:fill on="f" focussize="0,0"/>
            <v:stroke weight="1pt" color="#1F497D"/>
            <v:imagedata o:title=""/>
            <o:lock v:ext="edit"/>
          </v:shape>
        </w:pict>
      </w:r>
    </w:p>
    <w:p w14:paraId="7F80739C">
      <w:pPr>
        <w:rPr>
          <w:rFonts w:ascii="等线" w:hAnsi="等线" w:eastAsia="等线" w:cs="等线"/>
        </w:rPr>
      </w:pPr>
      <w:r>
        <w:rPr>
          <w:rFonts w:hint="eastAsia" w:ascii="等线" w:hAnsi="等线" w:eastAsia="等线" w:cs="等线"/>
        </w:rPr>
        <w:t>非学历教育</w:t>
      </w:r>
    </w:p>
    <w:p w14:paraId="743AB522">
      <w:pPr>
        <w:rPr>
          <w:rFonts w:ascii="等线" w:hAnsi="等线" w:eastAsia="等线" w:cs="等线"/>
          <w:b/>
          <w:color w:val="C00000"/>
        </w:rPr>
      </w:pPr>
    </w:p>
    <w:p w14:paraId="6741D7D8">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上海财经大学金融学院简介</w:t>
      </w:r>
    </w:p>
    <w:p w14:paraId="1F4485BE">
      <w:pPr>
        <w:rPr>
          <w:rFonts w:ascii="等线" w:hAnsi="等线" w:eastAsia="等线" w:cs="等线"/>
          <w:b/>
          <w:color w:val="C00000"/>
        </w:rPr>
      </w:pPr>
      <w:r>
        <w:rPr>
          <w:rFonts w:ascii="等线" w:hAnsi="等线" w:eastAsia="等线" w:cs="等线"/>
          <w:b/>
          <w:color w:val="C00000"/>
        </w:rPr>
        <w:pict>
          <v:shape id="_x0000_s1029" o:spid="_x0000_s1029" o:spt="32" type="#_x0000_t32" style="position:absolute;left:0pt;margin-left:0.4pt;margin-top:5.4pt;height:0pt;width:410.25pt;z-index:251665408;mso-width-relative:page;mso-height-relative:page;" filled="f" stroked="t" coordsize="21600,21600">
            <v:path arrowok="t"/>
            <v:fill on="f" focussize="0,0"/>
            <v:stroke weight="1pt" color="#1F497D"/>
            <v:imagedata o:title=""/>
            <o:lock v:ext="edit"/>
          </v:shape>
        </w:pict>
      </w:r>
    </w:p>
    <w:p w14:paraId="74F9387B">
      <w:pPr>
        <w:widowControl/>
        <w:shd w:val="clear" w:color="auto" w:fill="FFFFFF"/>
        <w:spacing w:after="150" w:line="315" w:lineRule="atLeast"/>
        <w:jc w:val="left"/>
        <w:rPr>
          <w:rFonts w:ascii="等线" w:hAnsi="等线" w:eastAsia="等线" w:cs="等线"/>
          <w:color w:val="1F497D" w:themeColor="text2"/>
          <w:kern w:val="0"/>
          <w:szCs w:val="21"/>
        </w:rPr>
      </w:pPr>
      <w:r>
        <w:rPr>
          <w:rFonts w:hint="eastAsia" w:ascii="等线" w:hAnsi="等线" w:eastAsia="等线" w:cs="等线"/>
          <w:color w:val="323232"/>
          <w:szCs w:val="21"/>
          <w:shd w:val="clear" w:color="auto" w:fill="FFFFFF"/>
        </w:rPr>
        <w:t>上海财经大学金融学院的前身为建立于1921年的国立东南大学银行系，是我国高等院校中最早创设的金融学科之一，也是我国大陆高校中设立的第一个金融学院。金融学院设有银行系、保险系、国际金融系、证券期货系以及公司金融系共5 个系，现有本科四个专业、四个学术型硕士点、两个专业学位硕士点和四个博士点。学院拥有一流的师资队伍，现有专职教师74 人，其中教授26 人，副教授25 人。 获得博士学位的教师人数超过全体教师比例的89%，其中30 位教师获得海外博士学位。 金融学院致力于构建一支具有国际视野和较高科研水平的一流师资队伍，以培养具备批判思维能力、创造力和前瞻力的国际化高素质金融专业人才，致力于在中短期内，使学院成为亚洲一流</w:t>
      </w:r>
      <w:r>
        <w:rPr>
          <w:rFonts w:hint="eastAsia" w:ascii="等线" w:hAnsi="等线" w:eastAsia="等线" w:cs="等线"/>
          <w:color w:val="323232"/>
          <w:szCs w:val="21"/>
          <w:shd w:val="clear" w:color="auto" w:fill="FFFFFF"/>
          <w:lang w:eastAsia="zh-CN"/>
        </w:rPr>
        <w:t>、具</w:t>
      </w:r>
      <w:r>
        <w:rPr>
          <w:rFonts w:hint="eastAsia" w:ascii="等线" w:hAnsi="等线" w:eastAsia="等线" w:cs="等线"/>
          <w:color w:val="323232"/>
          <w:szCs w:val="21"/>
          <w:shd w:val="clear" w:color="auto" w:fill="FFFFFF"/>
        </w:rPr>
        <w:t>有一定国际影响力的金融教学、科研基地。</w:t>
      </w:r>
    </w:p>
    <w:p w14:paraId="7D2AD565">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报名条件</w:t>
      </w:r>
    </w:p>
    <w:p w14:paraId="7BEFF8F8">
      <w:pPr>
        <w:rPr>
          <w:rFonts w:ascii="等线" w:hAnsi="等线" w:eastAsia="等线" w:cs="等线"/>
        </w:rPr>
      </w:pPr>
      <w:r>
        <w:rPr>
          <w:rFonts w:ascii="等线" w:hAnsi="等线" w:eastAsia="等线" w:cs="等线"/>
        </w:rPr>
        <w:pict>
          <v:shape id="_x0000_s1030" o:spid="_x0000_s1030" o:spt="32" type="#_x0000_t32" style="position:absolute;left:0pt;margin-left:0.4pt;margin-top:4.3pt;height:0pt;width:410.25pt;z-index:251660288;mso-width-relative:page;mso-height-relative:page;" filled="f" stroked="t" coordsize="21600,21600">
            <v:path arrowok="t"/>
            <v:fill on="f" focussize="0,0"/>
            <v:stroke weight="1pt" color="#1F497D"/>
            <v:imagedata o:title=""/>
            <o:lock v:ext="edit"/>
          </v:shape>
        </w:pict>
      </w:r>
    </w:p>
    <w:p w14:paraId="420FF1AA">
      <w:pPr>
        <w:rPr>
          <w:rFonts w:ascii="等线" w:hAnsi="等线" w:eastAsia="等线" w:cs="等线"/>
        </w:rPr>
      </w:pPr>
      <w:r>
        <w:rPr>
          <w:rFonts w:hint="eastAsia" w:ascii="等线" w:hAnsi="等线" w:eastAsia="等线" w:cs="等线"/>
        </w:rPr>
        <w:t>（1）本科学历</w:t>
      </w:r>
      <w:r>
        <w:rPr>
          <w:rFonts w:hint="eastAsia" w:ascii="等线" w:hAnsi="等线" w:eastAsia="等线" w:cs="等线"/>
          <w:lang w:eastAsia="zh-CN"/>
        </w:rPr>
        <w:t>，</w:t>
      </w:r>
      <w:r>
        <w:rPr>
          <w:rFonts w:hint="eastAsia" w:ascii="等线" w:hAnsi="等线" w:eastAsia="等线" w:cs="等线"/>
        </w:rPr>
        <w:t>并获得学士学位后满三年（即202</w:t>
      </w:r>
      <w:r>
        <w:rPr>
          <w:rFonts w:hint="eastAsia" w:ascii="等线" w:hAnsi="等线" w:eastAsia="等线" w:cs="等线"/>
          <w:lang w:val="en-US" w:eastAsia="zh-CN"/>
        </w:rPr>
        <w:t>3</w:t>
      </w:r>
      <w:r>
        <w:rPr>
          <w:rFonts w:hint="eastAsia" w:ascii="等线" w:hAnsi="等线" w:eastAsia="等线" w:cs="等线"/>
        </w:rPr>
        <w:t>年9月以前本科双证获得者，原专业不限）；</w:t>
      </w:r>
    </w:p>
    <w:p w14:paraId="22738208">
      <w:pPr>
        <w:rPr>
          <w:rFonts w:ascii="等线" w:hAnsi="等线" w:eastAsia="等线" w:cs="等线"/>
        </w:rPr>
      </w:pPr>
      <w:r>
        <w:rPr>
          <w:rFonts w:hint="eastAsia" w:ascii="等线" w:hAnsi="等线" w:eastAsia="等线" w:cs="等线"/>
        </w:rPr>
        <w:t>（2）虽无学士学位但已获得硕士或博士学位者；</w:t>
      </w:r>
    </w:p>
    <w:p w14:paraId="3EACF384">
      <w:pPr>
        <w:widowControl/>
        <w:shd w:val="clear" w:color="auto" w:fill="FFFFFF"/>
        <w:spacing w:after="150" w:line="315" w:lineRule="atLeast"/>
        <w:jc w:val="left"/>
        <w:rPr>
          <w:rFonts w:ascii="等线" w:hAnsi="等线" w:eastAsia="等线" w:cs="等线"/>
        </w:rPr>
      </w:pPr>
      <w:r>
        <w:rPr>
          <w:rFonts w:hint="eastAsia" w:ascii="等线" w:hAnsi="等线" w:eastAsia="等线" w:cs="等线"/>
        </w:rPr>
        <w:t>（3）对已获得的学士、硕士或博士学位学历为国（境）外学位学历的，其所</w:t>
      </w:r>
      <w:r>
        <w:rPr>
          <w:rFonts w:hint="eastAsia" w:ascii="等线" w:hAnsi="等线" w:eastAsia="等线" w:cs="等线"/>
          <w:lang w:eastAsia="zh-CN"/>
        </w:rPr>
        <w:t>获</w:t>
      </w:r>
      <w:r>
        <w:rPr>
          <w:rFonts w:hint="eastAsia" w:ascii="等线" w:hAnsi="等线" w:eastAsia="等线" w:cs="等线"/>
          <w:lang w:val="en-US" w:eastAsia="zh-CN"/>
        </w:rPr>
        <w:t>的</w:t>
      </w:r>
      <w:r>
        <w:rPr>
          <w:rFonts w:hint="eastAsia" w:ascii="等线" w:hAnsi="等线" w:eastAsia="等线" w:cs="等线"/>
        </w:rPr>
        <w:t>国（境）外学位需经教育部留学服务中心认证，并出具证明。</w:t>
      </w:r>
      <w:bookmarkStart w:id="0" w:name="_GoBack"/>
      <w:bookmarkEnd w:id="0"/>
    </w:p>
    <w:p w14:paraId="469C14A5">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报名时间、开班时间</w:t>
      </w:r>
    </w:p>
    <w:p w14:paraId="2DA36ED7">
      <w:pPr>
        <w:rPr>
          <w:rFonts w:ascii="等线" w:hAnsi="等线" w:eastAsia="等线" w:cs="等线"/>
        </w:rPr>
      </w:pPr>
      <w:r>
        <w:rPr>
          <w:rFonts w:ascii="等线" w:hAnsi="等线" w:eastAsia="等线" w:cs="等线"/>
        </w:rPr>
        <w:pict>
          <v:shape id="_x0000_s1040" o:spid="_x0000_s1040" o:spt="32" type="#_x0000_t32" style="position:absolute;left:0pt;margin-left:2.7pt;margin-top:6.1pt;height:0pt;width:410.25pt;z-index:251669504;mso-width-relative:page;mso-height-relative:page;" filled="f" stroked="t" coordsize="21600,21600">
            <v:path arrowok="t"/>
            <v:fill on="f" focussize="0,0"/>
            <v:stroke weight="1pt" color="#1F497D"/>
            <v:imagedata o:title=""/>
            <o:lock v:ext="edit"/>
          </v:shape>
        </w:pict>
      </w:r>
    </w:p>
    <w:p w14:paraId="6E44F785">
      <w:pPr>
        <w:pStyle w:val="15"/>
        <w:numPr>
          <w:ilvl w:val="0"/>
          <w:numId w:val="1"/>
        </w:numPr>
        <w:ind w:firstLineChars="0"/>
        <w:rPr>
          <w:rFonts w:ascii="等线" w:hAnsi="等线" w:eastAsia="等线" w:cs="等线"/>
        </w:rPr>
      </w:pPr>
      <w:r>
        <w:rPr>
          <w:rFonts w:hint="eastAsia" w:ascii="等线" w:hAnsi="等线" w:eastAsia="等线" w:cs="等线"/>
        </w:rPr>
        <w:t>无须考试，免试录取，即日起即可报名，资格审查合格后，缴费注册发录取通知书。</w:t>
      </w:r>
    </w:p>
    <w:p w14:paraId="406253A6">
      <w:pPr>
        <w:pStyle w:val="15"/>
        <w:numPr>
          <w:ilvl w:val="0"/>
          <w:numId w:val="1"/>
        </w:numPr>
        <w:ind w:firstLineChars="0"/>
        <w:rPr>
          <w:rFonts w:ascii="等线" w:hAnsi="等线" w:eastAsia="等线" w:cs="等线"/>
        </w:rPr>
      </w:pPr>
      <w:r>
        <w:rPr>
          <w:rFonts w:hint="eastAsia" w:ascii="等线" w:hAnsi="等线" w:eastAsia="等线" w:cs="等线"/>
        </w:rPr>
        <w:t>开班时间：拟于202</w:t>
      </w:r>
      <w:r>
        <w:rPr>
          <w:rFonts w:hint="eastAsia" w:ascii="等线" w:hAnsi="等线" w:eastAsia="等线" w:cs="等线"/>
          <w:lang w:val="en-US" w:eastAsia="zh-CN"/>
        </w:rPr>
        <w:t>6</w:t>
      </w:r>
      <w:r>
        <w:rPr>
          <w:rFonts w:hint="eastAsia" w:ascii="等线" w:hAnsi="等线" w:eastAsia="等线" w:cs="等线"/>
        </w:rPr>
        <w:t>年9月开班。</w:t>
      </w:r>
    </w:p>
    <w:p w14:paraId="3376BC50">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学制、结业资格</w:t>
      </w:r>
    </w:p>
    <w:p w14:paraId="190460EA">
      <w:pPr>
        <w:rPr>
          <w:rFonts w:ascii="等线" w:hAnsi="等线" w:eastAsia="等线" w:cs="等线"/>
        </w:rPr>
      </w:pPr>
      <w:r>
        <w:rPr>
          <w:rFonts w:ascii="等线" w:hAnsi="等线" w:eastAsia="等线" w:cs="等线"/>
        </w:rPr>
        <w:pict>
          <v:shape id="_x0000_s1032" o:spid="_x0000_s1032" o:spt="32" type="#_x0000_t32" style="position:absolute;left:0pt;margin-left:2.7pt;margin-top:5.15pt;height:0pt;width:410.25pt;z-index:251666432;mso-width-relative:page;mso-height-relative:page;" filled="f" stroked="t" coordsize="21600,21600">
            <v:path arrowok="t"/>
            <v:fill on="f" focussize="0,0"/>
            <v:stroke weight="1pt" color="#1F497D"/>
            <v:imagedata o:title=""/>
            <o:lock v:ext="edit"/>
          </v:shape>
        </w:pict>
      </w:r>
    </w:p>
    <w:p w14:paraId="428B13E9">
      <w:pPr>
        <w:rPr>
          <w:rFonts w:ascii="等线" w:hAnsi="等线" w:eastAsia="等线" w:cs="等线"/>
        </w:rPr>
      </w:pPr>
      <w:r>
        <w:rPr>
          <w:rFonts w:hint="eastAsia" w:ascii="等线" w:hAnsi="等线" w:eastAsia="等线" w:cs="等线"/>
        </w:rPr>
        <w:t>（1）学制2年。</w:t>
      </w:r>
    </w:p>
    <w:p w14:paraId="79C55FA1">
      <w:pPr>
        <w:rPr>
          <w:rFonts w:hint="default" w:ascii="等线" w:hAnsi="等线" w:eastAsia="等线" w:cs="等线"/>
          <w:lang w:val="en-US" w:eastAsia="zh-CN"/>
        </w:rPr>
      </w:pPr>
      <w:r>
        <w:rPr>
          <w:rFonts w:hint="eastAsia" w:ascii="等线" w:hAnsi="等线" w:eastAsia="等线" w:cs="等线"/>
        </w:rPr>
        <w:t>（2）学习形式：</w:t>
      </w:r>
      <w:r>
        <w:rPr>
          <w:rFonts w:hint="eastAsia" w:ascii="等线" w:hAnsi="等线" w:eastAsia="等线" w:cs="等线"/>
          <w:b/>
        </w:rPr>
        <w:t>可选面授班/线上班，均以上海财经大学教师授课为主。</w:t>
      </w:r>
      <w:r>
        <w:rPr>
          <w:rFonts w:hint="eastAsia" w:ascii="等线" w:hAnsi="等线" w:eastAsia="等线" w:cs="等线"/>
        </w:rPr>
        <w:t>面授班课程均在本校上课。</w:t>
      </w:r>
      <w:r>
        <w:rPr>
          <w:rFonts w:hint="eastAsia" w:ascii="等线" w:hAnsi="等线" w:eastAsia="等线" w:cs="等线"/>
          <w:lang w:val="en-US" w:eastAsia="zh-CN"/>
        </w:rPr>
        <w:t>每周六</w:t>
      </w:r>
      <w:r>
        <w:rPr>
          <w:rFonts w:hint="eastAsia" w:ascii="等线" w:hAnsi="等线" w:eastAsia="等线" w:cs="等线"/>
        </w:rPr>
        <w:t>授课，法定节假日和寒暑假不上课。</w:t>
      </w:r>
      <w:r>
        <w:rPr>
          <w:rFonts w:hint="eastAsia" w:ascii="等线" w:hAnsi="等线" w:eastAsia="等线" w:cs="等线"/>
          <w:lang w:val="en-US" w:eastAsia="zh-CN"/>
        </w:rPr>
        <w:t>以实际排课为准。</w:t>
      </w:r>
    </w:p>
    <w:p w14:paraId="756373EF">
      <w:pPr>
        <w:rPr>
          <w:rFonts w:ascii="等线" w:hAnsi="等线" w:eastAsia="等线" w:cs="等线"/>
          <w:color w:val="333333"/>
          <w:kern w:val="0"/>
          <w:szCs w:val="21"/>
        </w:rPr>
      </w:pPr>
      <w:r>
        <w:rPr>
          <w:rFonts w:hint="eastAsia" w:ascii="等线" w:hAnsi="等线" w:eastAsia="等线" w:cs="等线"/>
        </w:rPr>
        <w:t>（3）学习相关专业培养计划的全部课程后，可获得相应专业的结业证书（盖上海财经大学培训专用章）。</w:t>
      </w:r>
    </w:p>
    <w:p w14:paraId="67BD02B4">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课程设置</w:t>
      </w:r>
    </w:p>
    <w:p w14:paraId="1522F88B">
      <w:pPr>
        <w:rPr>
          <w:rFonts w:ascii="等线" w:hAnsi="等线" w:eastAsia="等线" w:cs="等线"/>
          <w:b/>
          <w:color w:val="C00000"/>
        </w:rPr>
      </w:pPr>
      <w:r>
        <w:rPr>
          <w:rFonts w:ascii="等线" w:hAnsi="等线" w:eastAsia="等线" w:cs="等线"/>
          <w:b/>
          <w:color w:val="C00000"/>
        </w:rPr>
        <w:pict>
          <v:shape id="_x0000_s1033" o:spid="_x0000_s1033" o:spt="32" type="#_x0000_t32" style="position:absolute;left:0pt;margin-left:-1.8pt;margin-top:6.45pt;height:0pt;width:410.25pt;z-index:251667456;mso-width-relative:page;mso-height-relative:page;" filled="f" stroked="t" coordsize="21600,21600">
            <v:path arrowok="t"/>
            <v:fill on="f" focussize="0,0"/>
            <v:stroke weight="1pt" color="#1F497D"/>
            <v:imagedata o:title=""/>
            <o:lock v:ext="edit"/>
          </v:shape>
        </w:pict>
      </w:r>
    </w:p>
    <w:p w14:paraId="7E13D8B9">
      <w:pPr>
        <w:rPr>
          <w:rFonts w:ascii="等线" w:hAnsi="等线" w:eastAsia="等线" w:cs="等线"/>
          <w:b/>
        </w:rPr>
      </w:pPr>
      <w:r>
        <w:rPr>
          <w:rFonts w:hint="eastAsia" w:ascii="等线" w:hAnsi="等线" w:eastAsia="等线" w:cs="等线"/>
          <w:b/>
        </w:rPr>
        <w:t>培养对象：</w:t>
      </w:r>
    </w:p>
    <w:p w14:paraId="5526E4A7">
      <w:pPr>
        <w:rPr>
          <w:rFonts w:ascii="等线" w:hAnsi="等线" w:eastAsia="等线" w:cs="等线"/>
        </w:rPr>
      </w:pPr>
      <w:r>
        <w:rPr>
          <w:rFonts w:hint="eastAsia" w:ascii="等线" w:hAnsi="等线" w:eastAsia="等线" w:cs="等线"/>
        </w:rPr>
        <w:t>金融机构的中高级管理人才以及非金融机构的高级财务管理人员；资本市场、衍生品市场投资管理人员。 </w:t>
      </w:r>
    </w:p>
    <w:p w14:paraId="6CB11F0F">
      <w:pPr>
        <w:rPr>
          <w:rFonts w:ascii="等线" w:hAnsi="等线" w:eastAsia="等线" w:cs="等线"/>
        </w:rPr>
      </w:pPr>
    </w:p>
    <w:p w14:paraId="7244D18F">
      <w:pPr>
        <w:rPr>
          <w:rFonts w:ascii="等线" w:hAnsi="等线" w:eastAsia="等线" w:cs="等线"/>
          <w:b/>
        </w:rPr>
      </w:pPr>
      <w:r>
        <w:rPr>
          <w:rFonts w:hint="eastAsia" w:ascii="等线" w:hAnsi="等线" w:eastAsia="等线" w:cs="等线"/>
          <w:b/>
        </w:rPr>
        <w:t>培养目标：</w:t>
      </w:r>
    </w:p>
    <w:p w14:paraId="5BB69B53">
      <w:pPr>
        <w:rPr>
          <w:rFonts w:ascii="等线" w:hAnsi="等线" w:eastAsia="等线" w:cs="等线"/>
        </w:rPr>
      </w:pPr>
      <w:r>
        <w:rPr>
          <w:rFonts w:hint="eastAsia" w:ascii="等线" w:hAnsi="等线" w:eastAsia="等线" w:cs="等线"/>
        </w:rPr>
        <w:t>掌握货币银行理论与政策、商业银行经营与风险管理、金融监管、财务报表分析、金融市场运作的高级金融管理人才；掌握现代证券投资理论、衍生产品定价理论，熟悉中外资本和衍生品市场操作的高级专业人才。</w:t>
      </w:r>
    </w:p>
    <w:p w14:paraId="29E31902">
      <w:pPr>
        <w:rPr>
          <w:rFonts w:ascii="等线" w:hAnsi="等线" w:eastAsia="等线" w:cs="等线"/>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5387"/>
      </w:tblGrid>
      <w:tr w14:paraId="492F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242" w:type="dxa"/>
            <w:vAlign w:val="center"/>
          </w:tcPr>
          <w:p w14:paraId="194E1EE6">
            <w:pPr>
              <w:jc w:val="center"/>
              <w:rPr>
                <w:rFonts w:ascii="等线" w:hAnsi="等线" w:eastAsia="等线" w:cs="等线"/>
                <w:b/>
                <w:color w:val="C00000"/>
              </w:rPr>
            </w:pPr>
            <w:r>
              <w:rPr>
                <w:rFonts w:hint="eastAsia" w:ascii="等线" w:hAnsi="等线" w:eastAsia="等线" w:cs="等线"/>
                <w:b/>
                <w:color w:val="1F497D" w:themeColor="text2"/>
              </w:rPr>
              <w:t>课程方向</w:t>
            </w:r>
          </w:p>
        </w:tc>
        <w:tc>
          <w:tcPr>
            <w:tcW w:w="7088" w:type="dxa"/>
            <w:gridSpan w:val="2"/>
            <w:vAlign w:val="center"/>
          </w:tcPr>
          <w:p w14:paraId="33843BCB">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金融投资实务与管理方向</w:t>
            </w:r>
          </w:p>
          <w:p w14:paraId="2D5E0853">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商业银行研究方向</w:t>
            </w:r>
          </w:p>
          <w:p w14:paraId="711D281C">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ESG与绿色金融方向</w:t>
            </w:r>
          </w:p>
          <w:p w14:paraId="354ACA52">
            <w:pPr>
              <w:jc w:val="center"/>
              <w:rPr>
                <w:rFonts w:ascii="等线" w:hAnsi="等线" w:eastAsia="等线" w:cs="等线"/>
                <w:b/>
                <w:bCs/>
                <w:color w:val="1F497D" w:themeColor="text2"/>
                <w:kern w:val="0"/>
                <w:szCs w:val="21"/>
              </w:rPr>
            </w:pPr>
            <w:r>
              <w:rPr>
                <w:rFonts w:hint="eastAsia" w:ascii="等线" w:hAnsi="等线" w:eastAsia="等线" w:cs="等线"/>
                <w:b/>
                <w:bCs/>
                <w:color w:val="1F497D" w:themeColor="text2"/>
                <w:kern w:val="0"/>
                <w:szCs w:val="21"/>
              </w:rPr>
              <w:t>保险与金融理财方向</w:t>
            </w:r>
          </w:p>
          <w:p w14:paraId="38718C1E">
            <w:pPr>
              <w:jc w:val="center"/>
              <w:rPr>
                <w:rFonts w:ascii="等线" w:hAnsi="等线" w:eastAsia="等线" w:cs="等线"/>
                <w:color w:val="000000"/>
                <w:kern w:val="0"/>
                <w:szCs w:val="21"/>
              </w:rPr>
            </w:pPr>
            <w:r>
              <w:rPr>
                <w:rFonts w:hint="eastAsia" w:ascii="等线" w:hAnsi="等线" w:eastAsia="等线" w:cs="等线"/>
                <w:b/>
                <w:bCs/>
                <w:color w:val="1F497D" w:themeColor="text2"/>
                <w:kern w:val="0"/>
                <w:szCs w:val="21"/>
              </w:rPr>
              <w:t>资本市场与资产管理方向</w:t>
            </w:r>
          </w:p>
        </w:tc>
      </w:tr>
      <w:tr w14:paraId="0496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242" w:type="dxa"/>
            <w:vMerge w:val="restart"/>
            <w:vAlign w:val="center"/>
          </w:tcPr>
          <w:p w14:paraId="0CA1622D">
            <w:pPr>
              <w:jc w:val="center"/>
              <w:rPr>
                <w:rFonts w:ascii="等线" w:hAnsi="等线" w:eastAsia="等线" w:cs="等线"/>
                <w:b/>
                <w:color w:val="C00000"/>
              </w:rPr>
            </w:pPr>
            <w:r>
              <w:rPr>
                <w:rFonts w:hint="eastAsia" w:ascii="等线" w:hAnsi="等线" w:eastAsia="等线" w:cs="等线"/>
                <w:b/>
                <w:color w:val="1F497D" w:themeColor="text2"/>
              </w:rPr>
              <w:t>课程设置</w:t>
            </w:r>
          </w:p>
        </w:tc>
        <w:tc>
          <w:tcPr>
            <w:tcW w:w="1701" w:type="dxa"/>
            <w:vAlign w:val="center"/>
          </w:tcPr>
          <w:p w14:paraId="7C9DD10C">
            <w:pPr>
              <w:jc w:val="center"/>
              <w:rPr>
                <w:rFonts w:ascii="等线" w:hAnsi="等线" w:eastAsia="等线" w:cs="等线"/>
                <w:b/>
              </w:rPr>
            </w:pPr>
            <w:r>
              <w:rPr>
                <w:rFonts w:hint="eastAsia" w:ascii="等线" w:hAnsi="等线" w:eastAsia="等线" w:cs="等线"/>
                <w:b/>
              </w:rPr>
              <w:t>公共课</w:t>
            </w:r>
          </w:p>
        </w:tc>
        <w:tc>
          <w:tcPr>
            <w:tcW w:w="5387" w:type="dxa"/>
            <w:vAlign w:val="center"/>
          </w:tcPr>
          <w:p w14:paraId="580129B2">
            <w:pPr>
              <w:jc w:val="left"/>
              <w:rPr>
                <w:rFonts w:ascii="等线" w:hAnsi="等线" w:eastAsia="等线" w:cs="等线"/>
              </w:rPr>
            </w:pPr>
            <w:r>
              <w:rPr>
                <w:rFonts w:hint="eastAsia" w:ascii="等线" w:hAnsi="等线" w:eastAsia="等线" w:cs="等线"/>
                <w:color w:val="000000"/>
                <w:kern w:val="0"/>
                <w:szCs w:val="21"/>
              </w:rPr>
              <w:t>马克思主义与社会科学方法论、英语、习近平新时代中国特色社会主义思想专题研究、新时代中国特色社会主义理论与实践</w:t>
            </w:r>
          </w:p>
        </w:tc>
      </w:tr>
      <w:tr w14:paraId="0B10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vMerge w:val="continue"/>
            <w:vAlign w:val="center"/>
          </w:tcPr>
          <w:p w14:paraId="4F8EB063">
            <w:pPr>
              <w:jc w:val="center"/>
              <w:rPr>
                <w:rFonts w:ascii="等线" w:hAnsi="等线" w:eastAsia="等线" w:cs="等线"/>
              </w:rPr>
            </w:pPr>
          </w:p>
        </w:tc>
        <w:tc>
          <w:tcPr>
            <w:tcW w:w="1701" w:type="dxa"/>
            <w:vAlign w:val="center"/>
          </w:tcPr>
          <w:p w14:paraId="50203B79">
            <w:pPr>
              <w:jc w:val="center"/>
              <w:rPr>
                <w:rFonts w:ascii="等线" w:hAnsi="等线" w:eastAsia="等线" w:cs="等线"/>
                <w:b/>
              </w:rPr>
            </w:pPr>
            <w:r>
              <w:rPr>
                <w:rFonts w:hint="eastAsia" w:ascii="等线" w:hAnsi="等线" w:eastAsia="等线" w:cs="等线"/>
                <w:b/>
              </w:rPr>
              <w:t>基础课</w:t>
            </w:r>
          </w:p>
        </w:tc>
        <w:tc>
          <w:tcPr>
            <w:tcW w:w="5387" w:type="dxa"/>
            <w:vAlign w:val="center"/>
          </w:tcPr>
          <w:p w14:paraId="6C264BA0">
            <w:pPr>
              <w:jc w:val="left"/>
              <w:rPr>
                <w:rFonts w:ascii="等线" w:hAnsi="等线" w:eastAsia="等线" w:cs="等线"/>
              </w:rPr>
            </w:pPr>
            <w:r>
              <w:rPr>
                <w:rFonts w:hint="eastAsia" w:ascii="等线" w:hAnsi="等线" w:eastAsia="等线" w:cs="等线"/>
              </w:rPr>
              <w:t>高级微观经济学、高级宏观经济学</w:t>
            </w:r>
          </w:p>
        </w:tc>
      </w:tr>
      <w:tr w14:paraId="2C40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42" w:type="dxa"/>
            <w:vMerge w:val="continue"/>
            <w:vAlign w:val="center"/>
          </w:tcPr>
          <w:p w14:paraId="0A784292">
            <w:pPr>
              <w:jc w:val="center"/>
              <w:rPr>
                <w:rFonts w:ascii="等线" w:hAnsi="等线" w:eastAsia="等线" w:cs="等线"/>
              </w:rPr>
            </w:pPr>
          </w:p>
        </w:tc>
        <w:tc>
          <w:tcPr>
            <w:tcW w:w="1701" w:type="dxa"/>
            <w:vAlign w:val="center"/>
          </w:tcPr>
          <w:p w14:paraId="573E21D2">
            <w:pPr>
              <w:jc w:val="center"/>
              <w:rPr>
                <w:rFonts w:ascii="等线" w:hAnsi="等线" w:eastAsia="等线" w:cs="等线"/>
                <w:b/>
              </w:rPr>
            </w:pPr>
            <w:r>
              <w:rPr>
                <w:rFonts w:hint="eastAsia" w:ascii="等线" w:hAnsi="等线" w:eastAsia="等线" w:cs="等线"/>
                <w:b/>
              </w:rPr>
              <w:t>专业必修课</w:t>
            </w:r>
          </w:p>
        </w:tc>
        <w:tc>
          <w:tcPr>
            <w:tcW w:w="5387" w:type="dxa"/>
            <w:vAlign w:val="center"/>
          </w:tcPr>
          <w:p w14:paraId="053CB9B9">
            <w:pPr>
              <w:jc w:val="left"/>
              <w:rPr>
                <w:rFonts w:ascii="等线" w:hAnsi="等线" w:eastAsia="等线" w:cs="等线"/>
              </w:rPr>
            </w:pPr>
            <w:r>
              <w:rPr>
                <w:rFonts w:hint="eastAsia" w:ascii="等线" w:hAnsi="等线" w:eastAsia="等线" w:cs="等线"/>
              </w:rPr>
              <w:t>国际经济学、财政学、货币银行学、公司金融、投资学、国际金融管理、证券投资分析</w:t>
            </w:r>
          </w:p>
        </w:tc>
      </w:tr>
      <w:tr w14:paraId="4B51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242" w:type="dxa"/>
            <w:vMerge w:val="continue"/>
            <w:vAlign w:val="center"/>
          </w:tcPr>
          <w:p w14:paraId="4A8641C6">
            <w:pPr>
              <w:jc w:val="center"/>
              <w:rPr>
                <w:rFonts w:ascii="等线" w:hAnsi="等线" w:eastAsia="等线" w:cs="等线"/>
              </w:rPr>
            </w:pPr>
          </w:p>
        </w:tc>
        <w:tc>
          <w:tcPr>
            <w:tcW w:w="1701" w:type="dxa"/>
            <w:vAlign w:val="center"/>
          </w:tcPr>
          <w:p w14:paraId="48C16B7E">
            <w:pPr>
              <w:jc w:val="center"/>
              <w:rPr>
                <w:rFonts w:ascii="等线" w:hAnsi="等线" w:eastAsia="等线" w:cs="等线"/>
                <w:b/>
              </w:rPr>
            </w:pPr>
            <w:r>
              <w:rPr>
                <w:rFonts w:hint="eastAsia" w:ascii="等线" w:hAnsi="等线" w:eastAsia="等线" w:cs="等线"/>
                <w:b/>
              </w:rPr>
              <w:t>专业选修课</w:t>
            </w:r>
          </w:p>
        </w:tc>
        <w:tc>
          <w:tcPr>
            <w:tcW w:w="5387" w:type="dxa"/>
            <w:vAlign w:val="center"/>
          </w:tcPr>
          <w:p w14:paraId="4B8B9BE5">
            <w:pPr>
              <w:jc w:val="left"/>
              <w:rPr>
                <w:rFonts w:ascii="等线" w:hAnsi="等线" w:eastAsia="等线" w:cs="等线"/>
              </w:rPr>
            </w:pPr>
            <w:r>
              <w:rPr>
                <w:rFonts w:hint="eastAsia" w:ascii="等线" w:hAnsi="等线" w:eastAsia="等线" w:cs="等线"/>
                <w:color w:val="000000"/>
                <w:kern w:val="0"/>
                <w:szCs w:val="21"/>
              </w:rPr>
              <w:t>社会主义经济理论</w:t>
            </w:r>
            <w:r>
              <w:rPr>
                <w:rFonts w:hint="eastAsia" w:ascii="等线" w:hAnsi="等线" w:eastAsia="等线" w:cs="等线"/>
              </w:rPr>
              <w:t>、财务报表分析、</w:t>
            </w:r>
            <w:r>
              <w:rPr>
                <w:rFonts w:hint="eastAsia" w:ascii="等线" w:hAnsi="等线" w:eastAsia="等线" w:cs="等线"/>
                <w:lang w:val="en-US" w:eastAsia="zh-CN"/>
              </w:rPr>
              <w:t>金融博弈论、金融计量学、</w:t>
            </w:r>
            <w:r>
              <w:rPr>
                <w:rFonts w:hint="eastAsia" w:ascii="等线" w:hAnsi="等线" w:eastAsia="等线" w:cs="等线"/>
              </w:rPr>
              <w:t>商业银行经营与风险管理、固定收益证券、金融计算与编程</w:t>
            </w:r>
          </w:p>
        </w:tc>
      </w:tr>
    </w:tbl>
    <w:p w14:paraId="011B9B2D">
      <w:pPr>
        <w:rPr>
          <w:rFonts w:ascii="等线" w:hAnsi="等线" w:eastAsia="等线" w:cs="等线"/>
        </w:rPr>
      </w:pPr>
    </w:p>
    <w:p w14:paraId="3873F03B">
      <w:pPr>
        <w:rPr>
          <w:rFonts w:ascii="等线" w:hAnsi="等线" w:eastAsia="等线" w:cs="等线"/>
        </w:rPr>
      </w:pPr>
      <w:r>
        <w:rPr>
          <w:rFonts w:hint="eastAsia" w:ascii="等线" w:hAnsi="等线" w:eastAsia="等线" w:cs="等线"/>
        </w:rPr>
        <w:t>（*课程设置：本项目以学习培养计划开设的课程为主。课程方向为增值服务，根据学员所选课程方向提供1-2门选修课程或共享前沿讲座。具体开设的专业、课程、课程方向根据招生人数进行调整，以实际情况为准。）</w:t>
      </w:r>
    </w:p>
    <w:p w14:paraId="5588D2A6">
      <w:pPr>
        <w:rPr>
          <w:rFonts w:ascii="等线" w:hAnsi="等线" w:eastAsia="等线" w:cs="等线"/>
        </w:rPr>
      </w:pPr>
    </w:p>
    <w:p w14:paraId="405BEB71">
      <w:pPr>
        <w:rPr>
          <w:rFonts w:ascii="等线" w:hAnsi="等线" w:eastAsia="等线" w:cs="等线"/>
          <w:b/>
          <w:color w:val="1F497D" w:themeColor="text2"/>
          <w:sz w:val="24"/>
          <w:szCs w:val="24"/>
        </w:rPr>
      </w:pPr>
      <w:r>
        <w:rPr>
          <w:rFonts w:ascii="等线" w:hAnsi="等线" w:eastAsia="等线" w:cs="等线"/>
          <w:b/>
          <w:color w:val="1F497D" w:themeColor="text2"/>
          <w:sz w:val="24"/>
          <w:szCs w:val="24"/>
        </w:rPr>
        <w:pict>
          <v:shape id="_x0000_s1042" o:spid="_x0000_s1042" o:spt="32" type="#_x0000_t32" style="position:absolute;left:0pt;margin-left:-1.8pt;margin-top:29.2pt;height:0pt;width:410.25pt;z-index:251670528;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增值服务</w:t>
      </w:r>
    </w:p>
    <w:p w14:paraId="04346000">
      <w:pPr>
        <w:rPr>
          <w:rFonts w:ascii="等线" w:hAnsi="等线" w:eastAsia="等线" w:cs="等线"/>
          <w:b/>
          <w:color w:val="C00000"/>
        </w:rPr>
      </w:pPr>
    </w:p>
    <w:p w14:paraId="1A7A4930">
      <w:pPr>
        <w:pStyle w:val="15"/>
        <w:numPr>
          <w:ilvl w:val="0"/>
          <w:numId w:val="2"/>
        </w:numPr>
        <w:ind w:firstLineChars="0"/>
        <w:rPr>
          <w:rFonts w:ascii="等线" w:hAnsi="等线" w:eastAsia="等线" w:cs="等线"/>
          <w:b/>
        </w:rPr>
      </w:pPr>
      <w:r>
        <w:rPr>
          <w:rFonts w:hint="eastAsia" w:ascii="等线" w:hAnsi="等线" w:eastAsia="等线" w:cs="等线"/>
          <w:b/>
        </w:rPr>
        <w:t>校园服务</w:t>
      </w:r>
    </w:p>
    <w:p w14:paraId="48F335EF">
      <w:pPr>
        <w:rPr>
          <w:rFonts w:ascii="等线" w:hAnsi="等线" w:eastAsia="等线" w:cs="等线"/>
        </w:rPr>
      </w:pPr>
      <w:r>
        <w:rPr>
          <w:rFonts w:hint="eastAsia" w:ascii="等线" w:hAnsi="等线" w:eastAsia="等线" w:cs="等线"/>
        </w:rPr>
        <w:t>参加本培训班的学员可享有专属校园卡进出校园、用餐及图书馆文献检索服务。</w:t>
      </w:r>
    </w:p>
    <w:p w14:paraId="69C41F67">
      <w:pPr>
        <w:rPr>
          <w:rFonts w:ascii="等线" w:hAnsi="等线" w:eastAsia="等线" w:cs="等线"/>
        </w:rPr>
      </w:pPr>
    </w:p>
    <w:p w14:paraId="3B9E49DA">
      <w:pPr>
        <w:pStyle w:val="15"/>
        <w:numPr>
          <w:ilvl w:val="0"/>
          <w:numId w:val="3"/>
        </w:numPr>
        <w:ind w:firstLineChars="0"/>
        <w:rPr>
          <w:rFonts w:ascii="等线" w:hAnsi="等线" w:eastAsia="等线" w:cs="等线"/>
          <w:b/>
        </w:rPr>
      </w:pPr>
      <w:r>
        <w:rPr>
          <w:rFonts w:hint="eastAsia" w:ascii="等线" w:hAnsi="等线" w:eastAsia="等线" w:cs="等线"/>
          <w:b/>
        </w:rPr>
        <w:t>额外课程</w:t>
      </w:r>
    </w:p>
    <w:p w14:paraId="16CABD51">
      <w:pPr>
        <w:rPr>
          <w:rFonts w:ascii="等线" w:hAnsi="等线" w:eastAsia="等线" w:cs="等线"/>
        </w:rPr>
      </w:pPr>
      <w:r>
        <w:rPr>
          <w:rFonts w:hint="eastAsia" w:ascii="等线" w:hAnsi="等线" w:eastAsia="等线" w:cs="等线"/>
        </w:rPr>
        <w:t>本培训班的学员在完成本专业课程后可共享学习其他专业课程及参加专属前沿讲座。</w:t>
      </w:r>
    </w:p>
    <w:p w14:paraId="3AE17D45">
      <w:pPr>
        <w:rPr>
          <w:rFonts w:ascii="等线" w:hAnsi="等线" w:eastAsia="等线" w:cs="等线"/>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195"/>
      </w:tblGrid>
      <w:tr w14:paraId="2CE1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76106002">
            <w:pPr>
              <w:jc w:val="center"/>
              <w:rPr>
                <w:rFonts w:ascii="等线" w:hAnsi="等线" w:eastAsia="等线" w:cs="等线"/>
              </w:rPr>
            </w:pPr>
            <w:r>
              <w:rPr>
                <w:rFonts w:hint="eastAsia" w:ascii="等线" w:hAnsi="等线" w:eastAsia="等线" w:cs="等线"/>
              </w:rPr>
              <w:t>商业银行的数字化转型</w:t>
            </w:r>
          </w:p>
        </w:tc>
        <w:tc>
          <w:tcPr>
            <w:tcW w:w="4195" w:type="dxa"/>
            <w:vAlign w:val="center"/>
          </w:tcPr>
          <w:p w14:paraId="176E02F0">
            <w:pPr>
              <w:jc w:val="center"/>
              <w:rPr>
                <w:rFonts w:ascii="等线" w:hAnsi="等线" w:eastAsia="等线" w:cs="等线"/>
              </w:rPr>
            </w:pPr>
            <w:r>
              <w:rPr>
                <w:rFonts w:hint="eastAsia" w:ascii="等线" w:hAnsi="等线" w:eastAsia="等线" w:cs="等线"/>
              </w:rPr>
              <w:t>双碳目标/碳金融下的战略布局与创新实践</w:t>
            </w:r>
          </w:p>
        </w:tc>
      </w:tr>
      <w:tr w14:paraId="51A6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22B528C9">
            <w:pPr>
              <w:jc w:val="center"/>
              <w:rPr>
                <w:rFonts w:hint="eastAsia" w:ascii="等线" w:hAnsi="等线" w:eastAsia="等线" w:cs="等线"/>
              </w:rPr>
            </w:pPr>
            <w:r>
              <w:rPr>
                <w:rFonts w:hint="eastAsia" w:ascii="等线" w:hAnsi="等线" w:eastAsia="等线" w:cs="等线"/>
              </w:rPr>
              <w:t>金融保险</w:t>
            </w:r>
            <w:r>
              <w:rPr>
                <w:rFonts w:ascii="等线" w:hAnsi="等线" w:eastAsia="等线" w:cs="等线"/>
              </w:rPr>
              <w:t>与养老规划师专题</w:t>
            </w:r>
          </w:p>
        </w:tc>
        <w:tc>
          <w:tcPr>
            <w:tcW w:w="4195" w:type="dxa"/>
            <w:vAlign w:val="center"/>
          </w:tcPr>
          <w:p w14:paraId="3BA2DBB1">
            <w:pPr>
              <w:jc w:val="center"/>
              <w:rPr>
                <w:rFonts w:ascii="等线" w:hAnsi="等线" w:eastAsia="等线" w:cs="等线"/>
              </w:rPr>
            </w:pPr>
            <w:r>
              <w:rPr>
                <w:rFonts w:hint="eastAsia" w:ascii="等线" w:hAnsi="等线" w:eastAsia="等线" w:cs="等线"/>
              </w:rPr>
              <w:t>境内外金融合规与风控实务</w:t>
            </w:r>
          </w:p>
        </w:tc>
      </w:tr>
      <w:tr w14:paraId="112C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464CDD46">
            <w:pPr>
              <w:jc w:val="center"/>
              <w:rPr>
                <w:rFonts w:ascii="等线" w:hAnsi="等线" w:eastAsia="等线" w:cs="等线"/>
              </w:rPr>
            </w:pPr>
            <w:r>
              <w:rPr>
                <w:rFonts w:hint="eastAsia" w:ascii="等线" w:hAnsi="等线" w:eastAsia="等线" w:cs="等线"/>
              </w:rPr>
              <w:t>宏观经济金融形势分析</w:t>
            </w:r>
          </w:p>
        </w:tc>
        <w:tc>
          <w:tcPr>
            <w:tcW w:w="4195" w:type="dxa"/>
            <w:vAlign w:val="center"/>
          </w:tcPr>
          <w:p w14:paraId="3D927C53">
            <w:pPr>
              <w:jc w:val="center"/>
              <w:rPr>
                <w:rFonts w:ascii="等线" w:hAnsi="等线" w:eastAsia="等线" w:cs="等线"/>
              </w:rPr>
            </w:pPr>
            <w:r>
              <w:rPr>
                <w:rFonts w:hint="eastAsia" w:ascii="等线" w:hAnsi="等线" w:eastAsia="等线" w:cs="等线"/>
              </w:rPr>
              <w:t>投资组合策略与决策思维</w:t>
            </w:r>
          </w:p>
        </w:tc>
      </w:tr>
      <w:tr w14:paraId="130E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5" w:type="dxa"/>
            <w:vAlign w:val="center"/>
          </w:tcPr>
          <w:p w14:paraId="11F8A993">
            <w:pPr>
              <w:jc w:val="center"/>
              <w:rPr>
                <w:rFonts w:ascii="等线" w:hAnsi="等线" w:eastAsia="等线" w:cs="等线"/>
              </w:rPr>
            </w:pPr>
            <w:r>
              <w:rPr>
                <w:rFonts w:hint="eastAsia" w:ascii="等线" w:hAnsi="等线" w:eastAsia="等线" w:cs="等线"/>
              </w:rPr>
              <w:t>现代化公司治理与股权激励</w:t>
            </w:r>
          </w:p>
        </w:tc>
        <w:tc>
          <w:tcPr>
            <w:tcW w:w="4195" w:type="dxa"/>
            <w:vAlign w:val="center"/>
          </w:tcPr>
          <w:p w14:paraId="27BCF3CE">
            <w:pPr>
              <w:jc w:val="center"/>
              <w:rPr>
                <w:rFonts w:ascii="等线" w:hAnsi="等线" w:eastAsia="等线" w:cs="等线"/>
              </w:rPr>
            </w:pPr>
            <w:r>
              <w:rPr>
                <w:rFonts w:hint="eastAsia" w:ascii="等线" w:hAnsi="等线" w:eastAsia="等线" w:cs="等线"/>
              </w:rPr>
              <w:t>数字普惠金融与银行业布局</w:t>
            </w:r>
          </w:p>
        </w:tc>
      </w:tr>
    </w:tbl>
    <w:p w14:paraId="114EE81A">
      <w:pPr>
        <w:jc w:val="left"/>
        <w:rPr>
          <w:rFonts w:ascii="等线" w:hAnsi="等线" w:eastAsia="等线" w:cs="等线"/>
        </w:rPr>
      </w:pPr>
      <w:r>
        <w:rPr>
          <w:rFonts w:hint="eastAsia" w:ascii="等线" w:hAnsi="等线" w:eastAsia="等线" w:cs="等线"/>
        </w:rPr>
        <w:t>*</w:t>
      </w:r>
      <w:r>
        <w:rPr>
          <w:rFonts w:hint="eastAsia" w:ascii="等线" w:hAnsi="等线" w:eastAsia="等线" w:cs="等线"/>
          <w:sz w:val="18"/>
          <w:szCs w:val="18"/>
        </w:rPr>
        <w:t>仅列举部分本专业前沿讲座，可共享学习其他专业前沿讲座。拟开设的讲座以实际情况为准。</w:t>
      </w:r>
    </w:p>
    <w:p w14:paraId="6D43D4F6">
      <w:pPr>
        <w:jc w:val="left"/>
        <w:rPr>
          <w:rFonts w:ascii="等线" w:hAnsi="等线" w:eastAsia="等线" w:cs="等线"/>
        </w:rPr>
      </w:pPr>
    </w:p>
    <w:p w14:paraId="352254AD">
      <w:pPr>
        <w:pStyle w:val="15"/>
        <w:numPr>
          <w:ilvl w:val="0"/>
          <w:numId w:val="4"/>
        </w:numPr>
        <w:ind w:firstLineChars="0"/>
        <w:rPr>
          <w:rFonts w:ascii="等线" w:hAnsi="等线" w:eastAsia="等线" w:cs="等线"/>
          <w:b/>
        </w:rPr>
      </w:pPr>
      <w:r>
        <w:rPr>
          <w:rFonts w:hint="eastAsia" w:ascii="等线" w:hAnsi="等线" w:eastAsia="等线" w:cs="等线"/>
          <w:b/>
        </w:rPr>
        <w:t>校友资源</w:t>
      </w:r>
    </w:p>
    <w:p w14:paraId="4B628748">
      <w:pPr>
        <w:rPr>
          <w:rFonts w:ascii="等线" w:hAnsi="等线" w:eastAsia="等线" w:cs="等线"/>
        </w:rPr>
      </w:pPr>
      <w:r>
        <w:rPr>
          <w:rFonts w:hint="eastAsia" w:ascii="等线" w:hAnsi="等线" w:eastAsia="等线" w:cs="等线"/>
        </w:rPr>
        <w:t>参加在职课程培训班即成为上财校友，可参加丰富的校友活动、论坛沙龙等，结识优质人脉，拓展关系网。</w:t>
      </w:r>
    </w:p>
    <w:p w14:paraId="1D96A20A">
      <w:pPr>
        <w:rPr>
          <w:rFonts w:ascii="等线" w:hAnsi="等线" w:eastAsia="等线" w:cs="等线"/>
        </w:rPr>
      </w:pPr>
    </w:p>
    <w:p w14:paraId="04C549E6">
      <w:pPr>
        <w:pStyle w:val="15"/>
        <w:numPr>
          <w:ilvl w:val="0"/>
          <w:numId w:val="4"/>
        </w:numPr>
        <w:ind w:firstLineChars="0"/>
        <w:rPr>
          <w:rFonts w:ascii="等线" w:hAnsi="等线" w:eastAsia="等线" w:cs="等线"/>
          <w:b/>
        </w:rPr>
      </w:pPr>
      <w:r>
        <w:rPr>
          <w:rFonts w:hint="eastAsia" w:ascii="等线" w:hAnsi="等线" w:eastAsia="等线" w:cs="等线"/>
          <w:b/>
        </w:rPr>
        <w:t>课外活动</w:t>
      </w:r>
    </w:p>
    <w:p w14:paraId="4DD05726">
      <w:pPr>
        <w:rPr>
          <w:rFonts w:ascii="等线" w:hAnsi="等线" w:eastAsia="等线" w:cs="等线"/>
        </w:rPr>
      </w:pPr>
      <w:r>
        <w:rPr>
          <w:rFonts w:hint="eastAsia" w:ascii="等线" w:hAnsi="等线" w:eastAsia="等线" w:cs="等线"/>
        </w:rPr>
        <w:t>除教学内容外，还可参加游学参访、座谈研讨等多种课外实践活动，开拓视野、提升格局。</w:t>
      </w:r>
    </w:p>
    <w:p w14:paraId="5B109DCF">
      <w:pPr>
        <w:rPr>
          <w:rFonts w:ascii="等线" w:hAnsi="等线" w:eastAsia="等线" w:cs="等线"/>
        </w:rPr>
      </w:pPr>
    </w:p>
    <w:p w14:paraId="555C775D">
      <w:pPr>
        <w:pStyle w:val="15"/>
        <w:numPr>
          <w:ilvl w:val="0"/>
          <w:numId w:val="4"/>
        </w:numPr>
        <w:ind w:firstLineChars="0"/>
        <w:rPr>
          <w:rFonts w:ascii="等线" w:hAnsi="等线" w:eastAsia="等线" w:cs="等线"/>
          <w:b/>
        </w:rPr>
      </w:pPr>
      <w:r>
        <w:rPr>
          <w:rFonts w:hint="eastAsia" w:ascii="等线" w:hAnsi="等线" w:eastAsia="等线" w:cs="等线"/>
          <w:b/>
        </w:rPr>
        <w:t>职业咨询</w:t>
      </w:r>
    </w:p>
    <w:p w14:paraId="6E1A2E2B">
      <w:pPr>
        <w:rPr>
          <w:rFonts w:ascii="等线" w:hAnsi="等线" w:eastAsia="等线" w:cs="等线"/>
        </w:rPr>
      </w:pPr>
      <w:r>
        <w:rPr>
          <w:rFonts w:hint="eastAsia" w:ascii="等线" w:hAnsi="等线" w:eastAsia="等线" w:cs="等线"/>
        </w:rPr>
        <w:t>专属职业规划服务。</w:t>
      </w:r>
    </w:p>
    <w:p w14:paraId="6F6F5C40">
      <w:pPr>
        <w:rPr>
          <w:rFonts w:ascii="等线" w:hAnsi="等线" w:eastAsia="等线" w:cs="等线"/>
        </w:rPr>
      </w:pPr>
    </w:p>
    <w:p w14:paraId="563039BA">
      <w:pPr>
        <w:rPr>
          <w:rFonts w:ascii="等线" w:hAnsi="等线" w:eastAsia="等线" w:cs="等线"/>
          <w:b/>
          <w:color w:val="1F497D" w:themeColor="text2"/>
          <w:sz w:val="24"/>
          <w:szCs w:val="24"/>
        </w:rPr>
      </w:pPr>
      <w:r>
        <w:rPr>
          <w:rFonts w:ascii="等线" w:hAnsi="等线" w:eastAsia="等线" w:cs="等线"/>
          <w:color w:val="1F497D" w:themeColor="text2"/>
          <w:sz w:val="24"/>
          <w:szCs w:val="24"/>
        </w:rPr>
        <w:pict>
          <v:shape id="_x0000_s1035" o:spid="_x0000_s1035" o:spt="32" type="#_x0000_t32" style="position:absolute;left:0pt;margin-left:-3.2pt;margin-top:27.9pt;height:0pt;width:410.25pt;z-index:251668480;mso-width-relative:page;mso-height-relative:page;" filled="f" stroked="t" coordsize="21600,21600">
            <v:path arrowok="t"/>
            <v:fill on="f" focussize="0,0"/>
            <v:stroke weight="1pt" color="#1F497D"/>
            <v:imagedata o:title=""/>
            <o:lock v:ext="edit"/>
          </v:shape>
        </w:pict>
      </w:r>
      <w:r>
        <w:rPr>
          <w:rFonts w:hint="eastAsia" w:ascii="等线" w:hAnsi="等线" w:eastAsia="等线" w:cs="等线"/>
          <w:b/>
          <w:color w:val="1F497D" w:themeColor="text2"/>
          <w:sz w:val="24"/>
          <w:szCs w:val="24"/>
        </w:rPr>
        <w:t>收费标准</w:t>
      </w:r>
    </w:p>
    <w:p w14:paraId="1A373016">
      <w:pPr>
        <w:rPr>
          <w:rFonts w:ascii="等线" w:hAnsi="等线" w:eastAsia="等线" w:cs="等线"/>
        </w:rPr>
      </w:pPr>
    </w:p>
    <w:p w14:paraId="4397730F">
      <w:pPr>
        <w:pStyle w:val="15"/>
        <w:numPr>
          <w:ilvl w:val="0"/>
          <w:numId w:val="5"/>
        </w:numPr>
        <w:ind w:firstLineChars="0"/>
        <w:rPr>
          <w:rFonts w:ascii="等线" w:hAnsi="等线" w:eastAsia="等线" w:cs="等线"/>
          <w:b/>
        </w:rPr>
      </w:pPr>
      <w:r>
        <w:rPr>
          <w:rFonts w:hint="eastAsia" w:ascii="等线" w:hAnsi="等线" w:eastAsia="等线" w:cs="等线"/>
          <w:b/>
        </w:rPr>
        <w:t>在职课程培训班（面授班/线上班）费用：4.8万元/人</w:t>
      </w:r>
    </w:p>
    <w:p w14:paraId="1A471D1F">
      <w:pPr>
        <w:pStyle w:val="15"/>
        <w:numPr>
          <w:ilvl w:val="0"/>
          <w:numId w:val="5"/>
        </w:numPr>
        <w:ind w:firstLineChars="0"/>
        <w:rPr>
          <w:rFonts w:ascii="等线" w:hAnsi="等线" w:eastAsia="等线" w:cs="等线"/>
        </w:rPr>
      </w:pPr>
      <w:r>
        <w:rPr>
          <w:rFonts w:hint="eastAsia" w:ascii="等线" w:hAnsi="等线" w:eastAsia="等线" w:cs="等线"/>
        </w:rPr>
        <w:t>开学前缴清培训费，开学后学校统一开具《中央非税收入统一票据》。</w:t>
      </w:r>
    </w:p>
    <w:p w14:paraId="7F1FB422">
      <w:pPr>
        <w:pStyle w:val="15"/>
        <w:numPr>
          <w:ilvl w:val="0"/>
          <w:numId w:val="5"/>
        </w:numPr>
        <w:ind w:firstLineChars="0"/>
        <w:rPr>
          <w:rFonts w:ascii="等线" w:hAnsi="等线" w:eastAsia="等线" w:cs="等线"/>
          <w:b/>
        </w:rPr>
      </w:pPr>
      <w:r>
        <w:rPr>
          <w:rFonts w:hint="eastAsia" w:ascii="等线" w:hAnsi="等线" w:eastAsia="等线" w:cs="等线"/>
          <w:b/>
        </w:rPr>
        <w:t>汇款账号：</w:t>
      </w:r>
    </w:p>
    <w:p w14:paraId="398A9741">
      <w:pPr>
        <w:ind w:firstLine="735" w:firstLineChars="350"/>
        <w:rPr>
          <w:rFonts w:ascii="等线" w:hAnsi="等线" w:eastAsia="等线" w:cs="等线"/>
          <w:b/>
        </w:rPr>
      </w:pPr>
      <w:r>
        <w:rPr>
          <w:rFonts w:hint="eastAsia" w:ascii="等线" w:hAnsi="等线" w:eastAsia="等线" w:cs="等线"/>
          <w:b/>
        </w:rPr>
        <w:t>户名：上海财经大学</w:t>
      </w:r>
    </w:p>
    <w:p w14:paraId="201553F1">
      <w:pPr>
        <w:ind w:firstLine="735" w:firstLineChars="350"/>
        <w:rPr>
          <w:rFonts w:ascii="等线" w:hAnsi="等线" w:eastAsia="等线" w:cs="等线"/>
          <w:b/>
        </w:rPr>
      </w:pPr>
      <w:r>
        <w:rPr>
          <w:rFonts w:hint="eastAsia" w:ascii="等线" w:hAnsi="等线" w:eastAsia="等线" w:cs="等线"/>
          <w:b/>
        </w:rPr>
        <w:t>账号：454673639249</w:t>
      </w:r>
    </w:p>
    <w:p w14:paraId="6A5FC575">
      <w:pPr>
        <w:ind w:firstLine="735" w:firstLineChars="350"/>
        <w:rPr>
          <w:rFonts w:ascii="等线" w:hAnsi="等线" w:eastAsia="等线" w:cs="等线"/>
          <w:b/>
        </w:rPr>
      </w:pPr>
      <w:r>
        <w:rPr>
          <w:rFonts w:hint="eastAsia" w:ascii="等线" w:hAnsi="等线" w:eastAsia="等线" w:cs="等线"/>
          <w:b/>
        </w:rPr>
        <w:t>开户行：中国银行上海市五角场支行</w:t>
      </w:r>
    </w:p>
    <w:p w14:paraId="039E18BC">
      <w:pPr>
        <w:ind w:firstLine="735" w:firstLineChars="350"/>
        <w:rPr>
          <w:rFonts w:ascii="等线" w:hAnsi="等线" w:eastAsia="等线" w:cs="等线"/>
          <w:color w:val="205968" w:themeColor="accent5" w:themeShade="80"/>
        </w:rPr>
      </w:pPr>
      <w:r>
        <w:rPr>
          <w:rFonts w:hint="eastAsia" w:ascii="等线" w:hAnsi="等线" w:eastAsia="等线" w:cs="等线"/>
          <w:color w:val="205968" w:themeColor="accent5" w:themeShade="80"/>
        </w:rPr>
        <w:t>注：请在用途或备注栏内注明：在职+学院+学员姓名</w:t>
      </w:r>
    </w:p>
    <w:p w14:paraId="5CBF47A7">
      <w:pPr>
        <w:pStyle w:val="15"/>
        <w:numPr>
          <w:ilvl w:val="0"/>
          <w:numId w:val="5"/>
        </w:numPr>
        <w:ind w:firstLineChars="0"/>
        <w:rPr>
          <w:rFonts w:ascii="等线" w:hAnsi="等线" w:eastAsia="等线" w:cs="等线"/>
        </w:rPr>
      </w:pPr>
      <w:r>
        <w:rPr>
          <w:rFonts w:hint="eastAsia" w:ascii="等线" w:hAnsi="等线" w:eastAsia="等线" w:cs="等线"/>
        </w:rPr>
        <w:t>报名确认，学院将依据缴款凭证上的日期先后排列录取顺序。</w:t>
      </w:r>
    </w:p>
    <w:p w14:paraId="4708DBC1">
      <w:pPr>
        <w:rPr>
          <w:rFonts w:ascii="等线" w:hAnsi="等线" w:eastAsia="等线" w:cs="等线"/>
        </w:rPr>
      </w:pPr>
    </w:p>
    <w:p w14:paraId="6FBF271F">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报名资料</w:t>
      </w:r>
    </w:p>
    <w:p w14:paraId="105FA445">
      <w:pPr>
        <w:rPr>
          <w:rFonts w:ascii="等线" w:hAnsi="等线" w:eastAsia="等线" w:cs="等线"/>
        </w:rPr>
      </w:pPr>
      <w:r>
        <w:rPr>
          <w:rFonts w:ascii="等线" w:hAnsi="等线" w:eastAsia="等线" w:cs="等线"/>
        </w:rPr>
        <w:pict>
          <v:shape id="_x0000_s1036" o:spid="_x0000_s1036" o:spt="32" type="#_x0000_t32" style="position:absolute;left:0pt;margin-left:-1.8pt;margin-top:6.5pt;height:0pt;width:410.25pt;z-index:251661312;mso-width-relative:page;mso-height-relative:page;" filled="f" stroked="t" coordsize="21600,21600">
            <v:path arrowok="t"/>
            <v:fill on="f" focussize="0,0"/>
            <v:stroke weight="1pt" color="#1F497D"/>
            <v:imagedata o:title=""/>
            <o:lock v:ext="edit"/>
          </v:shape>
        </w:pict>
      </w:r>
    </w:p>
    <w:p w14:paraId="00BA1AFB">
      <w:pPr>
        <w:pStyle w:val="15"/>
        <w:numPr>
          <w:ilvl w:val="0"/>
          <w:numId w:val="6"/>
        </w:numPr>
        <w:ind w:firstLineChars="0"/>
        <w:rPr>
          <w:rFonts w:ascii="等线" w:hAnsi="等线" w:eastAsia="等线" w:cs="等线"/>
        </w:rPr>
      </w:pPr>
      <w:r>
        <w:rPr>
          <w:rFonts w:hint="eastAsia" w:ascii="等线" w:hAnsi="等线" w:eastAsia="等线" w:cs="等线"/>
        </w:rPr>
        <w:t>本人最后学历和学位证书扫描件、身份证正反面扫描件；</w:t>
      </w:r>
    </w:p>
    <w:p w14:paraId="55600416">
      <w:pPr>
        <w:pStyle w:val="15"/>
        <w:numPr>
          <w:ilvl w:val="0"/>
          <w:numId w:val="6"/>
        </w:numPr>
        <w:ind w:firstLineChars="0"/>
        <w:rPr>
          <w:rFonts w:ascii="等线" w:hAnsi="等线" w:eastAsia="等线" w:cs="等线"/>
        </w:rPr>
      </w:pPr>
      <w:r>
        <w:rPr>
          <w:rFonts w:hint="eastAsia" w:ascii="等线" w:hAnsi="等线" w:eastAsia="等线" w:cs="等线"/>
        </w:rPr>
        <w:t>学位查询结果报告或学位认证报告电子版（在学信网：https://www.chsi.com.cn/上查询办理）；</w:t>
      </w:r>
    </w:p>
    <w:p w14:paraId="57F2E19F">
      <w:pPr>
        <w:pStyle w:val="15"/>
        <w:numPr>
          <w:ilvl w:val="0"/>
          <w:numId w:val="6"/>
        </w:numPr>
        <w:ind w:firstLineChars="0"/>
        <w:rPr>
          <w:rFonts w:ascii="等线" w:hAnsi="等线" w:eastAsia="等线" w:cs="等线"/>
        </w:rPr>
      </w:pPr>
      <w:r>
        <w:rPr>
          <w:rFonts w:hint="eastAsia" w:ascii="等线" w:hAnsi="等线" w:eastAsia="等线" w:cs="等线"/>
        </w:rPr>
        <w:t>填写《二〇二</w:t>
      </w:r>
      <w:r>
        <w:rPr>
          <w:rFonts w:hint="eastAsia" w:ascii="等线" w:hAnsi="等线" w:eastAsia="等线" w:cs="等线"/>
          <w:lang w:val="en-US" w:eastAsia="zh-CN"/>
        </w:rPr>
        <w:t>六</w:t>
      </w:r>
      <w:r>
        <w:rPr>
          <w:rFonts w:hint="eastAsia" w:ascii="等线" w:hAnsi="等线" w:eastAsia="等线" w:cs="等线"/>
        </w:rPr>
        <w:t>年上海财经大学在职课程培训班学员登记表》；</w:t>
      </w:r>
    </w:p>
    <w:p w14:paraId="69BBE1A7">
      <w:pPr>
        <w:pStyle w:val="15"/>
        <w:numPr>
          <w:ilvl w:val="0"/>
          <w:numId w:val="6"/>
        </w:numPr>
        <w:ind w:firstLineChars="0"/>
        <w:rPr>
          <w:rFonts w:ascii="等线" w:hAnsi="等线" w:eastAsia="等线" w:cs="等线"/>
        </w:rPr>
      </w:pPr>
      <w:r>
        <w:rPr>
          <w:rFonts w:hint="eastAsia" w:ascii="等线" w:hAnsi="等线" w:eastAsia="等线" w:cs="等线"/>
        </w:rPr>
        <w:t>证件照一寸蓝底3张。</w:t>
      </w:r>
    </w:p>
    <w:p w14:paraId="6E39D824">
      <w:pPr>
        <w:rPr>
          <w:rFonts w:ascii="等线" w:hAnsi="等线" w:eastAsia="等线" w:cs="等线"/>
        </w:rPr>
      </w:pPr>
    </w:p>
    <w:p w14:paraId="3222F5DD">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报名流程</w:t>
      </w:r>
    </w:p>
    <w:p w14:paraId="36166DCA">
      <w:pPr>
        <w:rPr>
          <w:rFonts w:ascii="等线" w:hAnsi="等线" w:eastAsia="等线" w:cs="等线"/>
          <w:b/>
          <w:color w:val="C00000"/>
        </w:rPr>
      </w:pPr>
      <w:r>
        <w:rPr>
          <w:rFonts w:ascii="等线" w:hAnsi="等线" w:eastAsia="等线" w:cs="等线"/>
          <w:b/>
          <w:color w:val="C00000"/>
        </w:rPr>
        <w:pict>
          <v:shape id="_x0000_s1037" o:spid="_x0000_s1037" o:spt="32" type="#_x0000_t32" style="position:absolute;left:0pt;margin-left:2.65pt;margin-top:6.85pt;height:0pt;width:410.25pt;z-index:251662336;mso-width-relative:page;mso-height-relative:page;" filled="f" stroked="t" coordsize="21600,21600">
            <v:path arrowok="t"/>
            <v:fill on="f" focussize="0,0"/>
            <v:stroke weight="1pt" color="#1F497D"/>
            <v:imagedata o:title=""/>
            <o:lock v:ext="edit"/>
          </v:shape>
        </w:pict>
      </w:r>
    </w:p>
    <w:p w14:paraId="619FCD0A">
      <w:pPr>
        <w:pStyle w:val="15"/>
        <w:numPr>
          <w:ilvl w:val="0"/>
          <w:numId w:val="7"/>
        </w:numPr>
        <w:ind w:firstLineChars="0"/>
        <w:jc w:val="left"/>
        <w:rPr>
          <w:rFonts w:ascii="等线" w:hAnsi="等线" w:eastAsia="等线" w:cs="等线"/>
        </w:rPr>
      </w:pPr>
      <w:r>
        <w:rPr>
          <w:rFonts w:hint="eastAsia" w:ascii="等线" w:hAnsi="等线" w:eastAsia="等线" w:cs="等线"/>
        </w:rPr>
        <w:t>线上或线下咨询。</w:t>
      </w:r>
    </w:p>
    <w:p w14:paraId="4893A295">
      <w:pPr>
        <w:pStyle w:val="15"/>
        <w:numPr>
          <w:ilvl w:val="0"/>
          <w:numId w:val="7"/>
        </w:numPr>
        <w:ind w:firstLineChars="0"/>
        <w:rPr>
          <w:rFonts w:ascii="等线" w:hAnsi="等线" w:eastAsia="等线" w:cs="等线"/>
        </w:rPr>
      </w:pPr>
      <w:r>
        <w:rPr>
          <w:rFonts w:hint="eastAsia" w:ascii="等线" w:hAnsi="等线" w:eastAsia="等线" w:cs="等线"/>
        </w:rPr>
        <w:t>线上或线下提交报名材料。</w:t>
      </w:r>
    </w:p>
    <w:p w14:paraId="1ACD2EEC">
      <w:pPr>
        <w:pStyle w:val="15"/>
        <w:numPr>
          <w:ilvl w:val="0"/>
          <w:numId w:val="7"/>
        </w:numPr>
        <w:ind w:firstLineChars="0"/>
        <w:rPr>
          <w:rFonts w:ascii="等线" w:hAnsi="等线" w:eastAsia="等线" w:cs="等线"/>
        </w:rPr>
      </w:pPr>
      <w:r>
        <w:rPr>
          <w:rFonts w:hint="eastAsia" w:ascii="等线" w:hAnsi="等线" w:eastAsia="等线" w:cs="等线"/>
        </w:rPr>
        <w:t>开学前缴清</w:t>
      </w:r>
      <w:r>
        <w:rPr>
          <w:rFonts w:hint="eastAsia" w:ascii="等线" w:hAnsi="等线" w:eastAsia="等线" w:cs="等线"/>
          <w:lang w:val="en-US" w:eastAsia="zh-CN"/>
        </w:rPr>
        <w:t>培训</w:t>
      </w:r>
      <w:r>
        <w:rPr>
          <w:rFonts w:hint="eastAsia" w:ascii="等线" w:hAnsi="等线" w:eastAsia="等线" w:cs="等线"/>
        </w:rPr>
        <w:t>费。</w:t>
      </w:r>
    </w:p>
    <w:p w14:paraId="42F6D551">
      <w:pPr>
        <w:rPr>
          <w:rFonts w:ascii="等线" w:hAnsi="等线" w:eastAsia="等线" w:cs="等线"/>
        </w:rPr>
      </w:pPr>
    </w:p>
    <w:p w14:paraId="37A36533">
      <w:pPr>
        <w:rPr>
          <w:rFonts w:ascii="等线" w:hAnsi="等线" w:eastAsia="等线" w:cs="等线"/>
          <w:b/>
          <w:color w:val="1F497D" w:themeColor="text2"/>
          <w:sz w:val="24"/>
          <w:szCs w:val="24"/>
        </w:rPr>
      </w:pPr>
      <w:r>
        <w:rPr>
          <w:rFonts w:hint="eastAsia" w:ascii="等线" w:hAnsi="等线" w:eastAsia="等线" w:cs="等线"/>
          <w:b/>
          <w:color w:val="1F497D" w:themeColor="text2"/>
          <w:sz w:val="24"/>
          <w:szCs w:val="24"/>
        </w:rPr>
        <w:t>报名咨询</w:t>
      </w:r>
    </w:p>
    <w:p w14:paraId="24E40C08">
      <w:pPr>
        <w:rPr>
          <w:rFonts w:ascii="等线" w:hAnsi="等线" w:eastAsia="等线" w:cs="等线"/>
        </w:rPr>
      </w:pPr>
      <w:r>
        <w:rPr>
          <w:rFonts w:ascii="等线" w:hAnsi="等线" w:eastAsia="等线" w:cs="等线"/>
        </w:rPr>
        <w:pict>
          <v:shape id="文本框 3" o:spid="_x0000_s1051" o:spt="202" type="#_x0000_t202" style="position:absolute;left:0pt;margin-left:314.8pt;margin-top:2.7pt;height:144.5pt;width:112.35pt;z-index:251671552;mso-width-relative:page;mso-height-relative:page;" fillcolor="#FFFFFF" filled="t" stroked="t" coordsize="21600,21600" o:gfxdata="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hyvhnaAAAACgEAAA8A&#10;AAAAAAAAAQAgAAAAIgAAAGRycy9kb3ducmV2LnhtbFBLAQIUABQAAAAIAIdO4kA1c/V2FQIAAEME&#10;AAAOAAAAAAAAAAEAIAAAACkBAABkcnMvZTJvRG9jLnhtbFBLBQYAAAAABgAGAFkBAACwBQAAAAA=&#10;">
            <v:path/>
            <v:fill on="t" focussize="0,0"/>
            <v:stroke color="#000000" joinstyle="miter"/>
            <v:imagedata o:title=""/>
            <o:lock v:ext="edit" aspectratio="f"/>
            <v:textbox>
              <w:txbxContent>
                <w:p w14:paraId="1DDB7907">
                  <w:pPr>
                    <w:jc w:val="center"/>
                    <w:rPr>
                      <w:rFonts w:hint="eastAsia" w:eastAsiaTheme="minorEastAsia"/>
                      <w:lang w:eastAsia="zh-CN"/>
                    </w:rPr>
                  </w:pPr>
                  <w:r>
                    <w:rPr>
                      <w:rFonts w:hint="eastAsia" w:eastAsiaTheme="minorEastAsia"/>
                      <w:lang w:eastAsia="zh-CN"/>
                    </w:rPr>
                    <w:drawing>
                      <wp:inline distT="0" distB="0" distL="114300" distR="114300">
                        <wp:extent cx="1228725" cy="1228725"/>
                        <wp:effectExtent l="0" t="0" r="9525" b="9525"/>
                        <wp:docPr id="2" name="图片 2" descr="640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0 (7)"/>
                                <pic:cNvPicPr>
                                  <a:picLocks noChangeAspect="1"/>
                                </pic:cNvPicPr>
                              </pic:nvPicPr>
                              <pic:blipFill>
                                <a:blip r:embed="rId6"/>
                                <a:stretch>
                                  <a:fillRect/>
                                </a:stretch>
                              </pic:blipFill>
                              <pic:spPr>
                                <a:xfrm>
                                  <a:off x="0" y="0"/>
                                  <a:ext cx="1228725" cy="1228725"/>
                                </a:xfrm>
                                <a:prstGeom prst="rect">
                                  <a:avLst/>
                                </a:prstGeom>
                              </pic:spPr>
                            </pic:pic>
                          </a:graphicData>
                        </a:graphic>
                      </wp:inline>
                    </w:drawing>
                  </w:r>
                </w:p>
                <w:p w14:paraId="335DF4DE">
                  <w:pPr>
                    <w:jc w:val="center"/>
                    <w:rPr>
                      <w:rFonts w:hint="default" w:eastAsiaTheme="minorEastAsia"/>
                      <w:lang w:val="en-US" w:eastAsia="zh-CN"/>
                    </w:rPr>
                  </w:pPr>
                  <w:r>
                    <w:rPr>
                      <w:rFonts w:hint="eastAsia"/>
                      <w:lang w:val="en-US" w:eastAsia="zh-CN"/>
                    </w:rPr>
                    <w:t>报名登记</w:t>
                  </w:r>
                </w:p>
              </w:txbxContent>
            </v:textbox>
          </v:shape>
        </w:pict>
      </w:r>
      <w:r>
        <w:rPr>
          <w:rFonts w:ascii="等线" w:hAnsi="等线" w:eastAsia="等线" w:cs="等线"/>
        </w:rPr>
        <w:pict>
          <v:shape id="_x0000_s1038" o:spid="_x0000_s1038" o:spt="32" type="#_x0000_t32" style="position:absolute;left:0pt;margin-left:0.35pt;margin-top:8.45pt;height:0pt;width:257.95pt;z-index:251663360;mso-width-relative:page;mso-height-relative:page;" filled="f" stroked="t" coordsize="21600,21600">
            <v:path arrowok="t"/>
            <v:fill on="f" focussize="0,0"/>
            <v:stroke weight="1pt" color="#1F497D"/>
            <v:imagedata o:title=""/>
            <o:lock v:ext="edit"/>
          </v:shape>
        </w:pict>
      </w:r>
    </w:p>
    <w:p w14:paraId="217D0FFB">
      <w:pPr>
        <w:spacing w:line="360" w:lineRule="auto"/>
        <w:rPr>
          <w:rFonts w:hint="default" w:ascii="等线" w:hAnsi="等线" w:eastAsia="等线" w:cs="等线"/>
          <w:b/>
          <w:bCs/>
          <w:sz w:val="30"/>
          <w:szCs w:val="30"/>
          <w:lang w:val="en-US" w:eastAsia="zh-CN"/>
        </w:rPr>
      </w:pPr>
      <w:r>
        <w:rPr>
          <w:rFonts w:hint="eastAsia" w:ascii="等线" w:hAnsi="等线" w:eastAsia="等线" w:cs="等线"/>
          <w:b/>
          <w:bCs/>
          <w:sz w:val="30"/>
          <w:szCs w:val="30"/>
          <w:lang w:val="en-US" w:eastAsia="zh-CN"/>
        </w:rPr>
        <w:t>021-65163912</w:t>
      </w:r>
    </w:p>
    <w:p w14:paraId="0925CB36">
      <w:pPr>
        <w:rPr>
          <w:rFonts w:ascii="等线" w:hAnsi="等线" w:eastAsia="等线" w:cs="等线"/>
        </w:rPr>
      </w:pPr>
      <w:r>
        <w:rPr>
          <w:rFonts w:hint="eastAsia" w:ascii="等线" w:hAnsi="等线" w:eastAsia="等线" w:cs="等线"/>
        </w:rPr>
        <w:t>武东路100号上海财经大学金融学院毓秀楼108室</w:t>
      </w:r>
    </w:p>
    <w:p w14:paraId="6B1EE17F">
      <w:pPr>
        <w:rPr>
          <w:rFonts w:ascii="等线" w:hAnsi="等线" w:eastAsia="等线" w:cs="等线"/>
          <w:b/>
          <w:bCs/>
        </w:rPr>
      </w:pPr>
    </w:p>
    <w:p w14:paraId="0E9FC85B">
      <w:pPr>
        <w:rPr>
          <w:rFonts w:ascii="等线" w:hAnsi="等线" w:eastAsia="等线" w:cs="等线"/>
        </w:rPr>
      </w:pPr>
    </w:p>
    <w:p w14:paraId="7BEBBD9B">
      <w:pPr>
        <w:rPr>
          <w:rFonts w:ascii="等线" w:hAnsi="等线" w:eastAsia="等线" w:cs="等线"/>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4729">
    <w:pPr>
      <w:pStyle w:val="5"/>
      <w:pBdr>
        <w:bottom w:val="none" w:color="auto" w:sz="0" w:space="1"/>
      </w:pBdr>
      <w:jc w:val="both"/>
    </w:pPr>
    <w:r>
      <w:rPr>
        <w:sz w:val="18"/>
      </w:rPr>
      <w:pict>
        <v:line id="_x0000_s2051" o:spid="_x0000_s2051" o:spt="20" style="position:absolute;left:0pt;margin-left:106pt;margin-top:12.65pt;height:1.95pt;width:307.6pt;z-index:251659264;mso-width-relative:page;mso-height-relative:page;" fillcolor="#7D1D1F" filled="t" stroked="t" coordsize="21600,21600">
          <v:path arrowok="t"/>
          <v:fill on="t" color2="#FFFFFF" focussize="0,0"/>
          <v:stroke weight="1.25pt" color="#7D1D1F"/>
          <v:imagedata o:title=""/>
          <o:lock v:ext="edit" aspectratio="f"/>
        </v:line>
      </w:pict>
    </w:r>
    <w:r>
      <w:drawing>
        <wp:inline distT="0" distB="0" distL="114300" distR="114300">
          <wp:extent cx="1268730" cy="308610"/>
          <wp:effectExtent l="0" t="0" r="762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268730" cy="308610"/>
                  </a:xfrm>
                  <a:prstGeom prst="rect">
                    <a:avLst/>
                  </a:prstGeom>
                  <a:noFill/>
                  <a:ln>
                    <a:noFill/>
                  </a:ln>
                </pic:spPr>
              </pic:pic>
            </a:graphicData>
          </a:graphic>
        </wp:inline>
      </w:drawing>
    </w:r>
    <w:r>
      <w:rPr>
        <w:rFonts w:hint="eastAsia"/>
      </w:rPr>
      <w:t xml:space="preserve">                          </w:t>
    </w:r>
  </w:p>
  <w:p w14:paraId="3FB6915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42172"/>
    <w:multiLevelType w:val="multilevel"/>
    <w:tmpl w:val="192421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0D005C"/>
    <w:multiLevelType w:val="multilevel"/>
    <w:tmpl w:val="1B0D005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1C0418"/>
    <w:multiLevelType w:val="multilevel"/>
    <w:tmpl w:val="201C04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3565540"/>
    <w:multiLevelType w:val="multilevel"/>
    <w:tmpl w:val="2356554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A15045F"/>
    <w:multiLevelType w:val="multilevel"/>
    <w:tmpl w:val="6A1504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CD7DEE"/>
    <w:multiLevelType w:val="multilevel"/>
    <w:tmpl w:val="6ECD7D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EF1412B"/>
    <w:multiLevelType w:val="multilevel"/>
    <w:tmpl w:val="7EF1412B"/>
    <w:lvl w:ilvl="0" w:tentative="0">
      <w:start w:val="1"/>
      <w:numFmt w:val="decimal"/>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IxY2U2YmE5OGE4YzFiYmY5YTE2ZDA3OWMwZDhhNTQifQ=="/>
  </w:docVars>
  <w:rsids>
    <w:rsidRoot w:val="00061095"/>
    <w:rsid w:val="00035BC9"/>
    <w:rsid w:val="00061095"/>
    <w:rsid w:val="00073B2D"/>
    <w:rsid w:val="00075AAD"/>
    <w:rsid w:val="000A530B"/>
    <w:rsid w:val="000B6E14"/>
    <w:rsid w:val="000F3528"/>
    <w:rsid w:val="0011645A"/>
    <w:rsid w:val="0014042C"/>
    <w:rsid w:val="00170196"/>
    <w:rsid w:val="001828D4"/>
    <w:rsid w:val="00190F50"/>
    <w:rsid w:val="001E5BA3"/>
    <w:rsid w:val="001F4700"/>
    <w:rsid w:val="00216F99"/>
    <w:rsid w:val="002724A8"/>
    <w:rsid w:val="002A21F1"/>
    <w:rsid w:val="002B7F52"/>
    <w:rsid w:val="002C5B69"/>
    <w:rsid w:val="002F5E1F"/>
    <w:rsid w:val="00325672"/>
    <w:rsid w:val="0034398A"/>
    <w:rsid w:val="00356973"/>
    <w:rsid w:val="003B1D3E"/>
    <w:rsid w:val="003C196C"/>
    <w:rsid w:val="003D050C"/>
    <w:rsid w:val="003D3479"/>
    <w:rsid w:val="003F6C00"/>
    <w:rsid w:val="0043509E"/>
    <w:rsid w:val="0044544F"/>
    <w:rsid w:val="00450004"/>
    <w:rsid w:val="00474F51"/>
    <w:rsid w:val="00477A57"/>
    <w:rsid w:val="004B0A6F"/>
    <w:rsid w:val="004D0CFF"/>
    <w:rsid w:val="004D70A8"/>
    <w:rsid w:val="004E1AE3"/>
    <w:rsid w:val="004F1E42"/>
    <w:rsid w:val="004F2CE3"/>
    <w:rsid w:val="00511C71"/>
    <w:rsid w:val="00526B07"/>
    <w:rsid w:val="00541FF4"/>
    <w:rsid w:val="0059536C"/>
    <w:rsid w:val="005B7F07"/>
    <w:rsid w:val="005D2743"/>
    <w:rsid w:val="005F1D21"/>
    <w:rsid w:val="0061583C"/>
    <w:rsid w:val="0062520A"/>
    <w:rsid w:val="006370BD"/>
    <w:rsid w:val="00664CD4"/>
    <w:rsid w:val="006772AC"/>
    <w:rsid w:val="006B2AD4"/>
    <w:rsid w:val="006D1C46"/>
    <w:rsid w:val="006D366A"/>
    <w:rsid w:val="006F5CF8"/>
    <w:rsid w:val="007068E0"/>
    <w:rsid w:val="00713C6D"/>
    <w:rsid w:val="007269D9"/>
    <w:rsid w:val="007365F5"/>
    <w:rsid w:val="00737498"/>
    <w:rsid w:val="00752049"/>
    <w:rsid w:val="00783DE5"/>
    <w:rsid w:val="0079438E"/>
    <w:rsid w:val="007C0541"/>
    <w:rsid w:val="007C7AFE"/>
    <w:rsid w:val="00815558"/>
    <w:rsid w:val="00822D41"/>
    <w:rsid w:val="00857585"/>
    <w:rsid w:val="0086313A"/>
    <w:rsid w:val="00864235"/>
    <w:rsid w:val="00885DAA"/>
    <w:rsid w:val="008B1E7F"/>
    <w:rsid w:val="008E3965"/>
    <w:rsid w:val="008E66EB"/>
    <w:rsid w:val="008F33B9"/>
    <w:rsid w:val="008F7A87"/>
    <w:rsid w:val="009136FD"/>
    <w:rsid w:val="00925569"/>
    <w:rsid w:val="00952987"/>
    <w:rsid w:val="00987D87"/>
    <w:rsid w:val="009A25C8"/>
    <w:rsid w:val="009D03EC"/>
    <w:rsid w:val="009E1B3E"/>
    <w:rsid w:val="009F0238"/>
    <w:rsid w:val="00A21ECC"/>
    <w:rsid w:val="00A44266"/>
    <w:rsid w:val="00A60B89"/>
    <w:rsid w:val="00A83F62"/>
    <w:rsid w:val="00AB622F"/>
    <w:rsid w:val="00AE18DC"/>
    <w:rsid w:val="00B06DA5"/>
    <w:rsid w:val="00B40DAA"/>
    <w:rsid w:val="00BC10F7"/>
    <w:rsid w:val="00BC1D9C"/>
    <w:rsid w:val="00BD755D"/>
    <w:rsid w:val="00C3134C"/>
    <w:rsid w:val="00CA1EF8"/>
    <w:rsid w:val="00CD0B77"/>
    <w:rsid w:val="00CD6648"/>
    <w:rsid w:val="00CF5CB3"/>
    <w:rsid w:val="00D27C90"/>
    <w:rsid w:val="00D31734"/>
    <w:rsid w:val="00D3498A"/>
    <w:rsid w:val="00D40CB7"/>
    <w:rsid w:val="00D7028D"/>
    <w:rsid w:val="00D93948"/>
    <w:rsid w:val="00D9630F"/>
    <w:rsid w:val="00DC56EE"/>
    <w:rsid w:val="00DD051C"/>
    <w:rsid w:val="00DD7C48"/>
    <w:rsid w:val="00E00817"/>
    <w:rsid w:val="00E03788"/>
    <w:rsid w:val="00E24426"/>
    <w:rsid w:val="00E34C6F"/>
    <w:rsid w:val="00E444FA"/>
    <w:rsid w:val="00E831C6"/>
    <w:rsid w:val="00EB3A27"/>
    <w:rsid w:val="00EF2E42"/>
    <w:rsid w:val="00EF4B3E"/>
    <w:rsid w:val="00EF6FDE"/>
    <w:rsid w:val="00F20867"/>
    <w:rsid w:val="00F213D9"/>
    <w:rsid w:val="00F21DD9"/>
    <w:rsid w:val="00F30D79"/>
    <w:rsid w:val="00F33DF9"/>
    <w:rsid w:val="00F572BC"/>
    <w:rsid w:val="00F67954"/>
    <w:rsid w:val="00F76AF3"/>
    <w:rsid w:val="00F84318"/>
    <w:rsid w:val="00FB1EFB"/>
    <w:rsid w:val="00FC15CB"/>
    <w:rsid w:val="136E7D0B"/>
    <w:rsid w:val="151929A1"/>
    <w:rsid w:val="157967D7"/>
    <w:rsid w:val="18551F2F"/>
    <w:rsid w:val="23CD1D40"/>
    <w:rsid w:val="24206810"/>
    <w:rsid w:val="25506360"/>
    <w:rsid w:val="2F7F4569"/>
    <w:rsid w:val="3374616F"/>
    <w:rsid w:val="3BB2012B"/>
    <w:rsid w:val="3F340259"/>
    <w:rsid w:val="423C1CEE"/>
    <w:rsid w:val="4A6E6BB6"/>
    <w:rsid w:val="4B7A0C1F"/>
    <w:rsid w:val="52990A97"/>
    <w:rsid w:val="58AA39E8"/>
    <w:rsid w:val="59F914DA"/>
    <w:rsid w:val="5D08371C"/>
    <w:rsid w:val="693264EF"/>
    <w:rsid w:val="6A1146ED"/>
    <w:rsid w:val="72ED47BB"/>
    <w:rsid w:val="78BB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 id="V:Rule3" type="connector" idref="#_x0000_s1030"/>
        <o:r id="V:Rule4" type="connector" idref="#_x0000_s1032"/>
        <o:r id="V:Rule5" type="connector" idref="#_x0000_s1033"/>
        <o:r id="V:Rule6" type="connector" idref="#_x0000_s1035"/>
        <o:r id="V:Rule7" type="connector" idref="#_x0000_s1036"/>
        <o:r id="V:Rule8" type="connector" idref="#_x0000_s1037"/>
        <o:r id="V:Rule9" type="connector" idref="#_x0000_s1038"/>
        <o:r id="V:Rule10" type="connector" idref="#_x0000_s1040"/>
        <o:r id="V:Rule11" type="connector" idref="#_x0000_s104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autoRedefine/>
    <w:semiHidden/>
    <w:unhideWhenUsed/>
    <w:qFormat/>
    <w:uiPriority w:val="99"/>
    <w:pPr>
      <w:ind w:left="100" w:leftChars="25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semiHidden/>
    <w:unhideWhenUsed/>
    <w:qFormat/>
    <w:uiPriority w:val="99"/>
    <w:rPr>
      <w:color w:val="0000FF"/>
      <w:u w:val="single"/>
    </w:rPr>
  </w:style>
  <w:style w:type="character" w:customStyle="1" w:styleId="12">
    <w:name w:val="批注框文本 字符"/>
    <w:basedOn w:val="9"/>
    <w:link w:val="3"/>
    <w:autoRedefine/>
    <w:semiHidden/>
    <w:qFormat/>
    <w:uiPriority w:val="99"/>
    <w:rPr>
      <w:sz w:val="18"/>
      <w:szCs w:val="18"/>
    </w:rPr>
  </w:style>
  <w:style w:type="character" w:customStyle="1" w:styleId="13">
    <w:name w:val="页眉 字符"/>
    <w:basedOn w:val="9"/>
    <w:link w:val="5"/>
    <w:autoRedefine/>
    <w:qFormat/>
    <w:uiPriority w:val="99"/>
    <w:rPr>
      <w:sz w:val="18"/>
      <w:szCs w:val="18"/>
    </w:rPr>
  </w:style>
  <w:style w:type="character" w:customStyle="1" w:styleId="14">
    <w:name w:val="页脚 字符"/>
    <w:basedOn w:val="9"/>
    <w:link w:val="4"/>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日期 字符"/>
    <w:basedOn w:val="9"/>
    <w:link w:val="2"/>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8"/>
    <customShpInfo spid="_x0000_s1029"/>
    <customShpInfo spid="_x0000_s1030"/>
    <customShpInfo spid="_x0000_s1040"/>
    <customShpInfo spid="_x0000_s1032"/>
    <customShpInfo spid="_x0000_s1033"/>
    <customShpInfo spid="_x0000_s1042"/>
    <customShpInfo spid="_x0000_s1035"/>
    <customShpInfo spid="_x0000_s1036"/>
    <customShpInfo spid="_x0000_s1037"/>
    <customShpInfo spid="_x0000_s1051"/>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1825</Words>
  <Characters>1898</Characters>
  <Lines>14</Lines>
  <Paragraphs>4</Paragraphs>
  <TotalTime>44</TotalTime>
  <ScaleCrop>false</ScaleCrop>
  <LinksUpToDate>false</LinksUpToDate>
  <CharactersWithSpaces>1912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2023-02-17T00:50:00Z</dcterms:created>
  <dc:creator>Administrator</dc:creator>
  <cp:lastModifiedBy>田园</cp:lastModifiedBy>
  <dcterms:modified xsi:type="dcterms:W3CDTF">2025-12-18T02:34:14Z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3711BFDA9E204DA885E5D80B183A2D61_12</vt:lpwstr>
  </property>
  <property fmtid="{D5CDD505-2E9C-101B-9397-08002B2CF9AE}" pid="4" name="KSOTemplateDocerSaveRecord">
    <vt:lpwstr>eyJoZGlkIjoiMWQyOTc0NjU2NjIyMGRjNzE1ZTk2ZmFkNmFjNzQ0MTMiLCJ1c2VySWQiOiIzMzA5MDc2NTMifQ==</vt:lpwstr>
  </property>
</Properties>
</file>